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47" w:name="_GoBack"/>
      <w:bookmarkEnd w:id="47"/>
      <w:r>
        <w:rPr>
          <w:rFonts w:ascii="宋体" w:hAnsi="宋体"/>
          <w:sz w:val="44"/>
        </w:rPr>
        <w:pict>
          <v:shape id="文本框 9" o:spid="_x0000_s1026" o:spt="202" type="#_x0000_t202" style="position:absolute;left:0pt;margin-left:70.9pt;margin-top:0.45pt;height:70.2pt;width:241.7pt;z-index:25166540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">
            <v:path/>
            <v:fill focussize="0,0"/>
            <v:stroke on="f" joinstyle="miter"/>
            <v:imagedata o:title=""/>
            <o:lock v:ext="edit"/>
            <v:textbox inset="0.5mm,1.27mm,0.5mm,1.27mm">
              <w:txbxContent>
                <w:p>
                  <w:pPr>
                    <w:adjustRightInd w:val="0"/>
                    <w:snapToGrid w:val="0"/>
                    <w:spacing w:line="240" w:lineRule="atLeast"/>
                    <w:rPr>
                      <w:rFonts w:ascii="黑体" w:eastAsia="黑体"/>
                      <w:sz w:val="18"/>
                      <w:szCs w:val="18"/>
                    </w:rPr>
                  </w:pPr>
                  <w:r>
                    <w:rPr>
                      <w:rFonts w:hint="eastAsia" w:ascii="黑体" w:eastAsia="黑体"/>
                      <w:sz w:val="18"/>
                      <w:szCs w:val="18"/>
                    </w:rPr>
                    <w:t>水利设计甲级：A144001895</w:t>
                  </w:r>
                </w:p>
                <w:p>
                  <w:pPr>
                    <w:adjustRightInd w:val="0"/>
                    <w:snapToGrid w:val="0"/>
                    <w:spacing w:line="240" w:lineRule="atLeast"/>
                    <w:rPr>
                      <w:rFonts w:ascii="黑体" w:eastAsia="黑体"/>
                      <w:sz w:val="18"/>
                      <w:szCs w:val="18"/>
                    </w:rPr>
                  </w:pPr>
                  <w:r>
                    <w:rPr>
                      <w:rFonts w:hint="eastAsia" w:ascii="黑体" w:eastAsia="黑体"/>
                      <w:sz w:val="18"/>
                      <w:szCs w:val="18"/>
                    </w:rPr>
                    <w:t>工程咨询甲级：91440300672999996A-18ZYJ18</w:t>
                  </w:r>
                </w:p>
                <w:p>
                  <w:pPr>
                    <w:adjustRightInd w:val="0"/>
                    <w:snapToGrid w:val="0"/>
                    <w:spacing w:line="240" w:lineRule="atLeast"/>
                    <w:rPr>
                      <w:rFonts w:eastAsia="黑体"/>
                      <w:sz w:val="18"/>
                      <w:szCs w:val="18"/>
                    </w:rPr>
                  </w:pPr>
                  <w:r>
                    <w:rPr>
                      <w:rFonts w:hint="eastAsia" w:eastAsia="黑体"/>
                      <w:sz w:val="18"/>
                      <w:szCs w:val="18"/>
                    </w:rPr>
                    <w:t>水保方案证书：★★★★★（五星）（粤）字第0050号</w:t>
                  </w:r>
                </w:p>
                <w:p>
                  <w:pPr>
                    <w:adjustRightInd w:val="0"/>
                    <w:snapToGrid w:val="0"/>
                    <w:spacing w:line="240" w:lineRule="atLeast"/>
                    <w:rPr>
                      <w:rFonts w:eastAsia="黑体"/>
                      <w:sz w:val="18"/>
                      <w:szCs w:val="18"/>
                    </w:rPr>
                  </w:pPr>
                  <w:r>
                    <w:rPr>
                      <w:rFonts w:hint="eastAsia" w:eastAsia="黑体"/>
                      <w:sz w:val="18"/>
                      <w:szCs w:val="18"/>
                    </w:rPr>
                    <w:t>水保监测证书：★★★（三星）（粤）第0018号</w:t>
                  </w:r>
                </w:p>
                <w:p>
                  <w:pPr>
                    <w:adjustRightInd w:val="0"/>
                    <w:snapToGrid w:val="0"/>
                    <w:spacing w:line="240" w:lineRule="atLeast"/>
                    <w:rPr>
                      <w:rFonts w:eastAsia="黑体"/>
                      <w:sz w:val="18"/>
                      <w:szCs w:val="18"/>
                    </w:rPr>
                  </w:pPr>
                  <w:r>
                    <w:rPr>
                      <w:rFonts w:hint="eastAsia" w:eastAsia="黑体"/>
                      <w:sz w:val="18"/>
                      <w:szCs w:val="18"/>
                    </w:rPr>
                    <w:t>水保信用等级：水利部水保方案AAA级</w:t>
                  </w:r>
                </w:p>
              </w:txbxContent>
            </v:textbox>
          </v:shape>
        </w:pict>
      </w:r>
      <w:r>
        <w:rPr>
          <w:rFonts w:hint="eastAsia" w:ascii="宋体" w:hAnsi="宋体"/>
          <w:sz w:val="44"/>
        </w:rPr>
        <w:drawing>
          <wp:anchor distT="0" distB="0" distL="114300" distR="114300" simplePos="0" relativeHeight="251663360" behindDoc="0" locked="0" layoutInCell="1" allowOverlap="1">
            <wp:simplePos x="0" y="0"/>
            <wp:positionH relativeFrom="column">
              <wp:posOffset>5080</wp:posOffset>
            </wp:positionH>
            <wp:positionV relativeFrom="paragraph">
              <wp:posOffset>95250</wp:posOffset>
            </wp:positionV>
            <wp:extent cx="942975" cy="609600"/>
            <wp:effectExtent l="0" t="0" r="9525" b="0"/>
            <wp:wrapNone/>
            <wp:docPr id="8" name="图片 8" descr="C:\Users\Administrator\Desktop\产品标识\公司LOGO（第2次）\LOGO及证书编号资质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产品标识\公司LOGO（第2次）\LOGO及证书编号资质02-1.jpg"/>
                    <pic:cNvPicPr>
                      <a:picLocks noChangeAspect="1" noChangeArrowheads="1"/>
                    </pic:cNvPicPr>
                  </pic:nvPicPr>
                  <pic:blipFill>
                    <a:blip r:embed="rId6">
                      <a:extLst>
                        <a:ext uri="{28A0092B-C50C-407E-A947-70E740481C1C}">
                          <a14:useLocalDpi xmlns:a14="http://schemas.microsoft.com/office/drawing/2010/main" val="0"/>
                        </a:ext>
                      </a:extLst>
                    </a:blip>
                    <a:srcRect r="58095"/>
                    <a:stretch>
                      <a:fillRect/>
                    </a:stretch>
                  </pic:blipFill>
                  <pic:spPr>
                    <a:xfrm>
                      <a:off x="0" y="0"/>
                      <a:ext cx="942975" cy="609600"/>
                    </a:xfrm>
                    <a:prstGeom prst="rect">
                      <a:avLst/>
                    </a:prstGeom>
                    <a:noFill/>
                    <a:ln>
                      <a:noFill/>
                    </a:ln>
                  </pic:spPr>
                </pic:pic>
              </a:graphicData>
            </a:graphic>
          </wp:anchor>
        </w:drawing>
      </w:r>
    </w:p>
    <w:p/>
    <w:p/>
    <w:p/>
    <w:p/>
    <w:p/>
    <w:p/>
    <w:p>
      <w:pPr>
        <w:spacing w:line="760" w:lineRule="atLeast"/>
        <w:jc w:val="center"/>
        <w:rPr>
          <w:rFonts w:ascii="仿宋" w:hAnsi="仿宋"/>
          <w:b/>
          <w:bCs/>
          <w:sz w:val="44"/>
          <w:szCs w:val="44"/>
        </w:rPr>
      </w:pPr>
      <w:r>
        <w:rPr>
          <w:rFonts w:hint="eastAsia" w:ascii="仿宋" w:hAnsi="仿宋"/>
          <w:b/>
          <w:bCs/>
          <w:sz w:val="44"/>
          <w:szCs w:val="44"/>
        </w:rPr>
        <w:t>深圳机场公务机二期机库项目</w:t>
      </w:r>
    </w:p>
    <w:p>
      <w:pPr>
        <w:spacing w:line="760" w:lineRule="atLeast"/>
        <w:jc w:val="center"/>
        <w:rPr>
          <w:rFonts w:ascii="仿宋" w:hAnsi="仿宋"/>
          <w:b/>
          <w:bCs/>
          <w:sz w:val="44"/>
          <w:szCs w:val="44"/>
        </w:rPr>
      </w:pPr>
      <w:r>
        <w:rPr>
          <w:rFonts w:hint="eastAsia" w:ascii="仿宋" w:hAnsi="仿宋"/>
          <w:b/>
          <w:bCs/>
          <w:sz w:val="44"/>
          <w:szCs w:val="44"/>
        </w:rPr>
        <w:t>水土保持设施验收报告</w:t>
      </w: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ind w:firstLine="1205" w:firstLineChars="400"/>
        <w:rPr>
          <w:rFonts w:cs="Times New Roman"/>
          <w:b/>
          <w:sz w:val="30"/>
          <w:szCs w:val="30"/>
        </w:rPr>
      </w:pPr>
      <w:r>
        <w:rPr>
          <w:rFonts w:cs="Times New Roman"/>
          <w:b/>
          <w:sz w:val="30"/>
          <w:szCs w:val="30"/>
        </w:rPr>
        <w:t>建设单位</w:t>
      </w:r>
      <w:r>
        <w:rPr>
          <w:rFonts w:hint="eastAsia" w:cs="Times New Roman"/>
          <w:b/>
          <w:sz w:val="30"/>
          <w:szCs w:val="30"/>
        </w:rPr>
        <w:t>：深圳市机场（集团）有限公司</w:t>
      </w:r>
    </w:p>
    <w:p>
      <w:pPr>
        <w:ind w:firstLine="1205" w:firstLineChars="400"/>
        <w:rPr>
          <w:rFonts w:cs="Times New Roman"/>
          <w:b/>
          <w:sz w:val="30"/>
          <w:szCs w:val="30"/>
        </w:rPr>
      </w:pPr>
      <w:r>
        <w:rPr>
          <w:rFonts w:hint="eastAsia" w:cs="Times New Roman"/>
          <w:b/>
          <w:sz w:val="30"/>
          <w:szCs w:val="30"/>
        </w:rPr>
        <w:t>编制单位：深圳市水务规划设计院股份有限公司</w:t>
      </w:r>
    </w:p>
    <w:p>
      <w:pPr>
        <w:jc w:val="center"/>
        <w:rPr>
          <w:rFonts w:cs="Times New Roman"/>
          <w:b/>
        </w:rPr>
        <w:sectPr>
          <w:pgSz w:w="11906" w:h="16838"/>
          <w:pgMar w:top="1440" w:right="1800" w:bottom="1440" w:left="1800" w:header="851" w:footer="992" w:gutter="0"/>
          <w:cols w:space="425" w:num="1"/>
          <w:docGrid w:type="lines" w:linePitch="312" w:charSpace="0"/>
        </w:sectPr>
      </w:pPr>
      <w:r>
        <w:rPr>
          <w:rFonts w:cs="Times New Roman"/>
          <w:b/>
          <w:sz w:val="30"/>
          <w:szCs w:val="30"/>
        </w:rPr>
        <w:t>20</w:t>
      </w:r>
      <w:r>
        <w:rPr>
          <w:rFonts w:hint="eastAsia" w:cs="Times New Roman"/>
          <w:b/>
          <w:sz w:val="30"/>
          <w:szCs w:val="30"/>
        </w:rPr>
        <w:t>20</w:t>
      </w:r>
      <w:r>
        <w:rPr>
          <w:rFonts w:cs="Times New Roman"/>
          <w:b/>
          <w:sz w:val="30"/>
          <w:szCs w:val="30"/>
        </w:rPr>
        <w:t>年</w:t>
      </w:r>
      <w:r>
        <w:rPr>
          <w:rFonts w:hint="eastAsia" w:cs="Times New Roman"/>
          <w:b/>
          <w:sz w:val="30"/>
          <w:szCs w:val="30"/>
        </w:rPr>
        <w:t>7</w:t>
      </w:r>
      <w:r>
        <w:rPr>
          <w:rFonts w:cs="Times New Roman"/>
          <w:b/>
          <w:sz w:val="30"/>
          <w:szCs w:val="30"/>
        </w:rPr>
        <w:t>月</w:t>
      </w:r>
    </w:p>
    <w:p>
      <w:pPr>
        <w:jc w:val="center"/>
        <w:rPr>
          <w:rFonts w:cs="Times New Roman"/>
          <w:szCs w:val="28"/>
        </w:rPr>
        <w:sectPr>
          <w:pgSz w:w="11906" w:h="16838"/>
          <w:pgMar w:top="1440" w:right="1800" w:bottom="1440" w:left="1800" w:header="851" w:footer="992" w:gutter="0"/>
          <w:cols w:space="425" w:num="1"/>
          <w:docGrid w:type="lines" w:linePitch="312" w:charSpace="0"/>
        </w:sectPr>
      </w:pPr>
    </w:p>
    <w:p>
      <w:pPr>
        <w:jc w:val="center"/>
        <w:rPr>
          <w:rFonts w:cs="Times New Roman"/>
          <w:szCs w:val="28"/>
        </w:rPr>
      </w:pPr>
      <w:r>
        <w:rPr>
          <w:rFonts w:cs="Times New Roman"/>
          <w:szCs w:val="28"/>
        </w:rPr>
        <w:drawing>
          <wp:inline distT="0" distB="0" distL="0" distR="0">
            <wp:extent cx="5297805" cy="3889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97805" cy="3889375"/>
                    </a:xfrm>
                    <a:prstGeom prst="rect">
                      <a:avLst/>
                    </a:prstGeom>
                    <a:noFill/>
                  </pic:spPr>
                </pic:pic>
              </a:graphicData>
            </a:graphic>
          </wp:inline>
        </w:drawing>
      </w:r>
    </w:p>
    <w:p>
      <w:pPr>
        <w:jc w:val="center"/>
        <w:rPr>
          <w:rFonts w:cs="Times New Roman"/>
          <w:szCs w:val="28"/>
        </w:rPr>
      </w:pPr>
      <w:r>
        <w:rPr>
          <w:rFonts w:cs="Times New Roman"/>
          <w:szCs w:val="28"/>
        </w:rPr>
        <w:drawing>
          <wp:inline distT="0" distB="0" distL="0" distR="0">
            <wp:extent cx="5279390" cy="36823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9390" cy="3682365"/>
                    </a:xfrm>
                    <a:prstGeom prst="rect">
                      <a:avLst/>
                    </a:prstGeom>
                    <a:noFill/>
                  </pic:spPr>
                </pic:pic>
              </a:graphicData>
            </a:graphic>
          </wp:inline>
        </w:drawing>
      </w:r>
    </w:p>
    <w:p>
      <w:pPr>
        <w:jc w:val="center"/>
        <w:rPr>
          <w:rFonts w:cs="Times New Roman"/>
          <w:szCs w:val="28"/>
        </w:rPr>
        <w:sectPr>
          <w:pgSz w:w="11906" w:h="16838"/>
          <w:pgMar w:top="1440" w:right="1800" w:bottom="1440" w:left="1800" w:header="851" w:footer="992" w:gutter="0"/>
          <w:cols w:space="425" w:num="1"/>
          <w:docGrid w:type="lines" w:linePitch="312" w:charSpace="0"/>
        </w:sectPr>
      </w:pPr>
    </w:p>
    <w:p>
      <w:pPr>
        <w:jc w:val="center"/>
        <w:rPr>
          <w:rFonts w:cs="Times New Roman"/>
          <w:szCs w:val="28"/>
        </w:rPr>
      </w:pPr>
      <w:r>
        <w:rPr>
          <w:rFonts w:cs="Times New Roman"/>
          <w:szCs w:val="28"/>
        </w:rPr>
        <w:drawing>
          <wp:inline distT="0" distB="0" distL="0" distR="0">
            <wp:extent cx="6047740" cy="42856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47740" cy="4285615"/>
                    </a:xfrm>
                    <a:prstGeom prst="rect">
                      <a:avLst/>
                    </a:prstGeom>
                    <a:noFill/>
                  </pic:spPr>
                </pic:pic>
              </a:graphicData>
            </a:graphic>
          </wp:inline>
        </w:drawing>
      </w:r>
    </w:p>
    <w:p>
      <w:pPr>
        <w:jc w:val="center"/>
        <w:rPr>
          <w:rFonts w:cs="Times New Roman"/>
          <w:szCs w:val="28"/>
        </w:rPr>
      </w:pPr>
      <w:r>
        <w:rPr>
          <w:rFonts w:cs="Times New Roman"/>
          <w:szCs w:val="28"/>
        </w:rPr>
        <w:drawing>
          <wp:inline distT="0" distB="0" distL="0" distR="0">
            <wp:extent cx="5487035" cy="3889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7035" cy="3889375"/>
                    </a:xfrm>
                    <a:prstGeom prst="rect">
                      <a:avLst/>
                    </a:prstGeom>
                    <a:noFill/>
                  </pic:spPr>
                </pic:pic>
              </a:graphicData>
            </a:graphic>
          </wp:inline>
        </w:drawing>
      </w:r>
    </w:p>
    <w:p>
      <w:pPr>
        <w:jc w:val="center"/>
        <w:rPr>
          <w:rFonts w:cs="Times New Roman"/>
          <w:szCs w:val="28"/>
        </w:rPr>
        <w:sectPr>
          <w:pgSz w:w="11906" w:h="16838"/>
          <w:pgMar w:top="1440" w:right="1800" w:bottom="1440" w:left="1800" w:header="851" w:footer="992" w:gutter="0"/>
          <w:cols w:space="425" w:num="1"/>
          <w:docGrid w:type="lines" w:linePitch="312" w:charSpace="0"/>
        </w:sectPr>
      </w:pPr>
    </w:p>
    <w:sdt>
      <w:sdtPr>
        <w:rPr>
          <w:rFonts w:ascii="Times New Roman" w:hAnsi="Times New Roman" w:eastAsia="仿宋" w:cstheme="minorBidi"/>
          <w:b w:val="0"/>
          <w:bCs w:val="0"/>
          <w:color w:val="auto"/>
          <w:kern w:val="2"/>
          <w:sz w:val="24"/>
          <w:szCs w:val="22"/>
          <w:lang w:val="zh-CN"/>
        </w:rPr>
        <w:id w:val="738527124"/>
        <w:docPartObj>
          <w:docPartGallery w:val="Table of Contents"/>
          <w:docPartUnique/>
        </w:docPartObj>
      </w:sdtPr>
      <w:sdtEndPr>
        <w:rPr>
          <w:rFonts w:ascii="Times New Roman" w:hAnsi="Times New Roman" w:eastAsia="仿宋" w:cstheme="minorBidi"/>
          <w:b w:val="0"/>
          <w:bCs w:val="0"/>
          <w:color w:val="auto"/>
          <w:kern w:val="2"/>
          <w:sz w:val="24"/>
          <w:szCs w:val="22"/>
          <w:lang w:val="zh-CN"/>
        </w:rPr>
      </w:sdtEndPr>
      <w:sdtContent>
        <w:p>
          <w:pPr>
            <w:pStyle w:val="22"/>
            <w:jc w:val="center"/>
            <w:rPr>
              <w:color w:val="000000" w:themeColor="text1"/>
            </w:rPr>
          </w:pPr>
          <w:r>
            <w:rPr>
              <w:color w:val="000000" w:themeColor="text1"/>
              <w:lang w:val="zh-CN"/>
            </w:rPr>
            <w:t>目录</w:t>
          </w:r>
        </w:p>
        <w:p>
          <w:pPr>
            <w:pStyle w:val="9"/>
            <w:tabs>
              <w:tab w:val="right" w:leader="dot" w:pos="8296"/>
            </w:tabs>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"_Toc44344019" </w:instrText>
          </w:r>
          <w:r>
            <w:fldChar w:fldCharType="separate"/>
          </w:r>
          <w:r>
            <w:rPr>
              <w:rStyle w:val="14"/>
            </w:rPr>
            <w:t>1.</w:t>
          </w:r>
          <w:r>
            <w:rPr>
              <w:rStyle w:val="14"/>
              <w:rFonts w:hint="eastAsia"/>
            </w:rPr>
            <w:t>前言</w:t>
          </w:r>
          <w:r>
            <w:tab/>
          </w:r>
          <w:r>
            <w:fldChar w:fldCharType="begin"/>
          </w:r>
          <w:r>
            <w:instrText xml:space="preserve"> PAGEREF _Toc44344019 \h </w:instrText>
          </w:r>
          <w:r>
            <w:fldChar w:fldCharType="separate"/>
          </w:r>
          <w:r>
            <w:t>1</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"_Toc44344020" </w:instrText>
          </w:r>
          <w:r>
            <w:fldChar w:fldCharType="separate"/>
          </w:r>
          <w:r>
            <w:rPr>
              <w:rStyle w:val="14"/>
            </w:rPr>
            <w:t>2.</w:t>
          </w:r>
          <w:r>
            <w:rPr>
              <w:rStyle w:val="14"/>
              <w:rFonts w:hint="eastAsia"/>
            </w:rPr>
            <w:t>工程概况及工程建设水土流失问题</w:t>
          </w:r>
          <w:r>
            <w:tab/>
          </w:r>
          <w:r>
            <w:fldChar w:fldCharType="begin"/>
          </w:r>
          <w:r>
            <w:instrText xml:space="preserve"> PAGEREF _Toc44344020 \h </w:instrText>
          </w:r>
          <w:r>
            <w:fldChar w:fldCharType="separate"/>
          </w:r>
          <w:r>
            <w:t>1</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"_Toc44344021" </w:instrText>
          </w:r>
          <w:r>
            <w:fldChar w:fldCharType="separate"/>
          </w:r>
          <w:r>
            <w:rPr>
              <w:rStyle w:val="14"/>
            </w:rPr>
            <w:t>2.1</w:t>
          </w:r>
          <w:r>
            <w:rPr>
              <w:rStyle w:val="14"/>
              <w:rFonts w:hint="eastAsia"/>
            </w:rPr>
            <w:t>工程概况</w:t>
          </w:r>
          <w:r>
            <w:tab/>
          </w:r>
          <w:r>
            <w:fldChar w:fldCharType="begin"/>
          </w:r>
          <w:r>
            <w:instrText xml:space="preserve"> PAGEREF _Toc44344021 \h </w:instrText>
          </w:r>
          <w:r>
            <w:fldChar w:fldCharType="separate"/>
          </w:r>
          <w:r>
            <w:t>1</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"_Toc44344022" </w:instrText>
          </w:r>
          <w:r>
            <w:fldChar w:fldCharType="separate"/>
          </w:r>
          <w:r>
            <w:rPr>
              <w:rStyle w:val="14"/>
            </w:rPr>
            <w:t>2.2</w:t>
          </w:r>
          <w:r>
            <w:rPr>
              <w:rStyle w:val="14"/>
              <w:rFonts w:hint="eastAsia"/>
            </w:rPr>
            <w:t>项目区自然和水土流失情况</w:t>
          </w:r>
          <w:r>
            <w:tab/>
          </w:r>
          <w:r>
            <w:fldChar w:fldCharType="begin"/>
          </w:r>
          <w:r>
            <w:instrText xml:space="preserve"> PAGEREF _Toc44344022 \h </w:instrText>
          </w:r>
          <w:r>
            <w:fldChar w:fldCharType="separate"/>
          </w:r>
          <w:r>
            <w:t>1</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"_Toc44344023" </w:instrText>
          </w:r>
          <w:r>
            <w:fldChar w:fldCharType="separate"/>
          </w:r>
          <w:r>
            <w:rPr>
              <w:rStyle w:val="14"/>
            </w:rPr>
            <w:t>2.2.1</w:t>
          </w:r>
          <w:r>
            <w:rPr>
              <w:rStyle w:val="14"/>
              <w:rFonts w:hint="eastAsia"/>
            </w:rPr>
            <w:t>地形地质</w:t>
          </w:r>
          <w:r>
            <w:tab/>
          </w:r>
          <w:r>
            <w:fldChar w:fldCharType="begin"/>
          </w:r>
          <w:r>
            <w:instrText xml:space="preserve"> PAGEREF _Toc44344023 \h </w:instrText>
          </w:r>
          <w:r>
            <w:fldChar w:fldCharType="separate"/>
          </w:r>
          <w:r>
            <w:t>1</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"_Toc44344024" </w:instrText>
          </w:r>
          <w:r>
            <w:fldChar w:fldCharType="separate"/>
          </w:r>
          <w:r>
            <w:rPr>
              <w:rStyle w:val="14"/>
            </w:rPr>
            <w:t>2.2.2</w:t>
          </w:r>
          <w:r>
            <w:rPr>
              <w:rStyle w:val="14"/>
              <w:rFonts w:hint="eastAsia"/>
            </w:rPr>
            <w:t>水文气象</w:t>
          </w:r>
          <w:r>
            <w:tab/>
          </w:r>
          <w:r>
            <w:fldChar w:fldCharType="begin"/>
          </w:r>
          <w:r>
            <w:instrText xml:space="preserve"> PAGEREF _Toc44344024 \h </w:instrText>
          </w:r>
          <w:r>
            <w:fldChar w:fldCharType="separate"/>
          </w:r>
          <w:r>
            <w:t>2</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"_Toc44344025" </w:instrText>
          </w:r>
          <w:r>
            <w:fldChar w:fldCharType="separate"/>
          </w:r>
          <w:r>
            <w:rPr>
              <w:rStyle w:val="14"/>
            </w:rPr>
            <w:t>2.2.3</w:t>
          </w:r>
          <w:r>
            <w:rPr>
              <w:rStyle w:val="14"/>
              <w:rFonts w:hint="eastAsia"/>
            </w:rPr>
            <w:t>土壤、植被</w:t>
          </w:r>
          <w:r>
            <w:tab/>
          </w:r>
          <w:r>
            <w:fldChar w:fldCharType="begin"/>
          </w:r>
          <w:r>
            <w:instrText xml:space="preserve"> PAGEREF _Toc44344025 \h </w:instrText>
          </w:r>
          <w:r>
            <w:fldChar w:fldCharType="separate"/>
          </w:r>
          <w:r>
            <w:t>2</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"_Toc44344026" </w:instrText>
          </w:r>
          <w:r>
            <w:fldChar w:fldCharType="separate"/>
          </w:r>
          <w:r>
            <w:rPr>
              <w:rStyle w:val="14"/>
            </w:rPr>
            <w:t>2.2.4</w:t>
          </w:r>
          <w:r>
            <w:rPr>
              <w:rStyle w:val="14"/>
              <w:rFonts w:hint="eastAsia"/>
            </w:rPr>
            <w:t>水土流失情况</w:t>
          </w:r>
          <w:r>
            <w:tab/>
          </w:r>
          <w:r>
            <w:fldChar w:fldCharType="begin"/>
          </w:r>
          <w:r>
            <w:instrText xml:space="preserve"> PAGEREF _Toc44344026 \h </w:instrText>
          </w:r>
          <w:r>
            <w:fldChar w:fldCharType="separate"/>
          </w:r>
          <w:r>
            <w:t>3</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"_Toc44344027" </w:instrText>
          </w:r>
          <w:r>
            <w:fldChar w:fldCharType="separate"/>
          </w:r>
          <w:r>
            <w:rPr>
              <w:rStyle w:val="14"/>
            </w:rPr>
            <w:t>2.3</w:t>
          </w:r>
          <w:r>
            <w:rPr>
              <w:rStyle w:val="14"/>
              <w:rFonts w:hint="eastAsia"/>
            </w:rPr>
            <w:t>工程建设水土流失问题</w:t>
          </w:r>
          <w:r>
            <w:tab/>
          </w:r>
          <w:r>
            <w:fldChar w:fldCharType="begin"/>
          </w:r>
          <w:r>
            <w:instrText xml:space="preserve"> PAGEREF _Toc44344027 \h </w:instrText>
          </w:r>
          <w:r>
            <w:fldChar w:fldCharType="separate"/>
          </w:r>
          <w:r>
            <w:t>3</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"_Toc44344028" </w:instrText>
          </w:r>
          <w:r>
            <w:fldChar w:fldCharType="separate"/>
          </w:r>
          <w:r>
            <w:rPr>
              <w:rStyle w:val="14"/>
            </w:rPr>
            <w:t>3.</w:t>
          </w:r>
          <w:r>
            <w:rPr>
              <w:rStyle w:val="14"/>
              <w:rFonts w:hint="eastAsia"/>
            </w:rPr>
            <w:t>水土保持方案和设计情况</w:t>
          </w:r>
          <w:r>
            <w:tab/>
          </w:r>
          <w:r>
            <w:fldChar w:fldCharType="begin"/>
          </w:r>
          <w:r>
            <w:instrText xml:space="preserve"> PAGEREF _Toc44344028 \h </w:instrText>
          </w:r>
          <w:r>
            <w:fldChar w:fldCharType="separate"/>
          </w:r>
          <w:r>
            <w:t>5</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"_Toc44344029" </w:instrText>
          </w:r>
          <w:r>
            <w:fldChar w:fldCharType="separate"/>
          </w:r>
          <w:r>
            <w:rPr>
              <w:rStyle w:val="14"/>
            </w:rPr>
            <w:t>3.1.</w:t>
          </w:r>
          <w:r>
            <w:rPr>
              <w:rStyle w:val="14"/>
              <w:rFonts w:hint="eastAsia"/>
            </w:rPr>
            <w:t>方案报批</w:t>
          </w:r>
          <w:r>
            <w:tab/>
          </w:r>
          <w:r>
            <w:fldChar w:fldCharType="begin"/>
          </w:r>
          <w:r>
            <w:instrText xml:space="preserve"> PAGEREF _Toc44344029 \h </w:instrText>
          </w:r>
          <w:r>
            <w:fldChar w:fldCharType="separate"/>
          </w:r>
          <w:r>
            <w:t>5</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"_Toc44344030" </w:instrText>
          </w:r>
          <w:r>
            <w:fldChar w:fldCharType="separate"/>
          </w:r>
          <w:r>
            <w:rPr>
              <w:rStyle w:val="14"/>
            </w:rPr>
            <w:t>3.2</w:t>
          </w:r>
          <w:r>
            <w:rPr>
              <w:rStyle w:val="14"/>
              <w:rFonts w:hint="eastAsia"/>
            </w:rPr>
            <w:t>水土保持设计</w:t>
          </w:r>
          <w:r>
            <w:tab/>
          </w:r>
          <w:r>
            <w:fldChar w:fldCharType="begin"/>
          </w:r>
          <w:r>
            <w:instrText xml:space="preserve"> PAGEREF _Toc44344030 \h </w:instrText>
          </w:r>
          <w:r>
            <w:fldChar w:fldCharType="separate"/>
          </w:r>
          <w:r>
            <w:t>5</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"_Toc44344031" </w:instrText>
          </w:r>
          <w:r>
            <w:fldChar w:fldCharType="separate"/>
          </w:r>
          <w:r>
            <w:rPr>
              <w:rStyle w:val="14"/>
            </w:rPr>
            <w:t>3.2.1</w:t>
          </w:r>
          <w:r>
            <w:rPr>
              <w:rStyle w:val="14"/>
              <w:rFonts w:hint="eastAsia"/>
            </w:rPr>
            <w:t>水土流失防治目标</w:t>
          </w:r>
          <w:r>
            <w:tab/>
          </w:r>
          <w:r>
            <w:fldChar w:fldCharType="begin"/>
          </w:r>
          <w:r>
            <w:instrText xml:space="preserve"> PAGEREF _Toc44344031 \h </w:instrText>
          </w:r>
          <w:r>
            <w:fldChar w:fldCharType="separate"/>
          </w:r>
          <w:r>
            <w:t>5</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"_Toc44344032" </w:instrText>
          </w:r>
          <w:r>
            <w:fldChar w:fldCharType="separate"/>
          </w:r>
          <w:r>
            <w:rPr>
              <w:rStyle w:val="14"/>
            </w:rPr>
            <w:t>3.2.2</w:t>
          </w:r>
          <w:r>
            <w:rPr>
              <w:rStyle w:val="14"/>
              <w:rFonts w:hint="eastAsia"/>
            </w:rPr>
            <w:t>水土保持工程量</w:t>
          </w:r>
          <w:r>
            <w:tab/>
          </w:r>
          <w:r>
            <w:fldChar w:fldCharType="begin"/>
          </w:r>
          <w:r>
            <w:instrText xml:space="preserve"> PAGEREF _Toc44344032 \h </w:instrText>
          </w:r>
          <w:r>
            <w:fldChar w:fldCharType="separate"/>
          </w:r>
          <w:r>
            <w:t>5</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"_Toc44344033" </w:instrText>
          </w:r>
          <w:r>
            <w:fldChar w:fldCharType="separate"/>
          </w:r>
          <w:r>
            <w:rPr>
              <w:rStyle w:val="14"/>
            </w:rPr>
            <w:t>4.</w:t>
          </w:r>
          <w:r>
            <w:rPr>
              <w:rStyle w:val="14"/>
              <w:rFonts w:hint="eastAsia"/>
            </w:rPr>
            <w:t>水土保持设施建设情况</w:t>
          </w:r>
          <w:r>
            <w:tab/>
          </w:r>
          <w:r>
            <w:fldChar w:fldCharType="begin"/>
          </w:r>
          <w:r>
            <w:instrText xml:space="preserve"> PAGEREF _Toc44344033 \h </w:instrText>
          </w:r>
          <w:r>
            <w:fldChar w:fldCharType="separate"/>
          </w:r>
          <w:r>
            <w:t>6</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"_Toc44344034" </w:instrText>
          </w:r>
          <w:r>
            <w:fldChar w:fldCharType="separate"/>
          </w:r>
          <w:r>
            <w:rPr>
              <w:rStyle w:val="14"/>
            </w:rPr>
            <w:t>4.1</w:t>
          </w:r>
          <w:r>
            <w:rPr>
              <w:rStyle w:val="14"/>
              <w:rFonts w:hint="eastAsia"/>
            </w:rPr>
            <w:t>水土流失防治范围</w:t>
          </w:r>
          <w:r>
            <w:tab/>
          </w:r>
          <w:r>
            <w:fldChar w:fldCharType="begin"/>
          </w:r>
          <w:r>
            <w:instrText xml:space="preserve"> PAGEREF _Toc44344034 \h </w:instrText>
          </w:r>
          <w:r>
            <w:fldChar w:fldCharType="separate"/>
          </w:r>
          <w:r>
            <w:t>6</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"_Toc44344035" </w:instrText>
          </w:r>
          <w:r>
            <w:fldChar w:fldCharType="separate"/>
          </w:r>
          <w:r>
            <w:rPr>
              <w:rStyle w:val="14"/>
            </w:rPr>
            <w:t>4.2</w:t>
          </w:r>
          <w:r>
            <w:rPr>
              <w:rStyle w:val="14"/>
              <w:rFonts w:hint="eastAsia"/>
            </w:rPr>
            <w:t>水土保持措施总体布局评估</w:t>
          </w:r>
          <w:r>
            <w:tab/>
          </w:r>
          <w:r>
            <w:fldChar w:fldCharType="begin"/>
          </w:r>
          <w:r>
            <w:instrText xml:space="preserve"> PAGEREF _Toc44344035 \h </w:instrText>
          </w:r>
          <w:r>
            <w:fldChar w:fldCharType="separate"/>
          </w:r>
          <w:r>
            <w:t>6</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"_Toc44344036" </w:instrText>
          </w:r>
          <w:r>
            <w:fldChar w:fldCharType="separate"/>
          </w:r>
          <w:r>
            <w:rPr>
              <w:rStyle w:val="14"/>
            </w:rPr>
            <w:t>4.3</w:t>
          </w:r>
          <w:r>
            <w:rPr>
              <w:rStyle w:val="14"/>
              <w:rFonts w:hint="eastAsia"/>
            </w:rPr>
            <w:t>水土保持设施完成情况</w:t>
          </w:r>
          <w:r>
            <w:tab/>
          </w:r>
          <w:r>
            <w:fldChar w:fldCharType="begin"/>
          </w:r>
          <w:r>
            <w:instrText xml:space="preserve"> PAGEREF _Toc44344036 \h </w:instrText>
          </w:r>
          <w:r>
            <w:fldChar w:fldCharType="separate"/>
          </w:r>
          <w:r>
            <w:t>7</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"_Toc44344037" </w:instrText>
          </w:r>
          <w:r>
            <w:fldChar w:fldCharType="separate"/>
          </w:r>
          <w:r>
            <w:rPr>
              <w:rStyle w:val="14"/>
            </w:rPr>
            <w:t>4.4</w:t>
          </w:r>
          <w:r>
            <w:rPr>
              <w:rStyle w:val="14"/>
              <w:rFonts w:hint="eastAsia"/>
            </w:rPr>
            <w:t>水土保持工程施工进度及安排</w:t>
          </w:r>
          <w:r>
            <w:tab/>
          </w:r>
          <w:r>
            <w:fldChar w:fldCharType="begin"/>
          </w:r>
          <w:r>
            <w:instrText xml:space="preserve"> PAGEREF _Toc44344037 \h </w:instrText>
          </w:r>
          <w:r>
            <w:fldChar w:fldCharType="separate"/>
          </w:r>
          <w:r>
            <w:t>8</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"_Toc44344038" </w:instrText>
          </w:r>
          <w:r>
            <w:fldChar w:fldCharType="separate"/>
          </w:r>
          <w:r>
            <w:rPr>
              <w:rStyle w:val="14"/>
            </w:rPr>
            <w:t>4.5</w:t>
          </w:r>
          <w:r>
            <w:rPr>
              <w:rStyle w:val="14"/>
              <w:rFonts w:hint="eastAsia"/>
            </w:rPr>
            <w:t>水土保持工程投资完成情况</w:t>
          </w:r>
          <w:r>
            <w:tab/>
          </w:r>
          <w:r>
            <w:fldChar w:fldCharType="begin"/>
          </w:r>
          <w:r>
            <w:instrText xml:space="preserve"> PAGEREF _Toc44344038 \h </w:instrText>
          </w:r>
          <w:r>
            <w:fldChar w:fldCharType="separate"/>
          </w:r>
          <w:r>
            <w:t>8</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"_Toc44344039" </w:instrText>
          </w:r>
          <w:r>
            <w:fldChar w:fldCharType="separate"/>
          </w:r>
          <w:r>
            <w:rPr>
              <w:rStyle w:val="14"/>
            </w:rPr>
            <w:t>5.</w:t>
          </w:r>
          <w:r>
            <w:rPr>
              <w:rStyle w:val="14"/>
              <w:rFonts w:hint="eastAsia"/>
            </w:rPr>
            <w:t>水土保持工程质量</w:t>
          </w:r>
          <w:r>
            <w:tab/>
          </w:r>
          <w:r>
            <w:fldChar w:fldCharType="begin"/>
          </w:r>
          <w:r>
            <w:instrText xml:space="preserve"> PAGEREF _Toc44344039 \h </w:instrText>
          </w:r>
          <w:r>
            <w:fldChar w:fldCharType="separate"/>
          </w:r>
          <w:r>
            <w:t>9</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"_Toc44344040" </w:instrText>
          </w:r>
          <w:r>
            <w:fldChar w:fldCharType="separate"/>
          </w:r>
          <w:r>
            <w:rPr>
              <w:rStyle w:val="14"/>
            </w:rPr>
            <w:t>5.1</w:t>
          </w:r>
          <w:r>
            <w:rPr>
              <w:rStyle w:val="14"/>
              <w:rFonts w:hint="eastAsia"/>
            </w:rPr>
            <w:t>质量管理体系</w:t>
          </w:r>
          <w:r>
            <w:tab/>
          </w:r>
          <w:r>
            <w:fldChar w:fldCharType="begin"/>
          </w:r>
          <w:r>
            <w:instrText xml:space="preserve"> PAGEREF _Toc44344040 \h </w:instrText>
          </w:r>
          <w:r>
            <w:fldChar w:fldCharType="separate"/>
          </w:r>
          <w:r>
            <w:t>9</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"_Toc44344041" </w:instrText>
          </w:r>
          <w:r>
            <w:fldChar w:fldCharType="separate"/>
          </w:r>
          <w:r>
            <w:rPr>
              <w:rStyle w:val="14"/>
            </w:rPr>
            <w:t xml:space="preserve">5.2 </w:t>
          </w:r>
          <w:r>
            <w:rPr>
              <w:rStyle w:val="14"/>
              <w:rFonts w:hint="eastAsia"/>
            </w:rPr>
            <w:t>工程措施质量评价</w:t>
          </w:r>
          <w:r>
            <w:tab/>
          </w:r>
          <w:r>
            <w:fldChar w:fldCharType="begin"/>
          </w:r>
          <w:r>
            <w:instrText xml:space="preserve"> PAGEREF _Toc44344041 \h </w:instrText>
          </w:r>
          <w:r>
            <w:fldChar w:fldCharType="separate"/>
          </w:r>
          <w:r>
            <w:t>9</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"_Toc44344042" </w:instrText>
          </w:r>
          <w:r>
            <w:fldChar w:fldCharType="separate"/>
          </w:r>
          <w:r>
            <w:rPr>
              <w:rStyle w:val="14"/>
            </w:rPr>
            <w:t>5.2.1</w:t>
          </w:r>
          <w:r>
            <w:rPr>
              <w:rStyle w:val="14"/>
              <w:rFonts w:hint="eastAsia"/>
            </w:rPr>
            <w:t>工程设施评定标准</w:t>
          </w:r>
          <w:r>
            <w:tab/>
          </w:r>
          <w:r>
            <w:fldChar w:fldCharType="begin"/>
          </w:r>
          <w:r>
            <w:instrText xml:space="preserve"> PAGEREF _Toc44344042 \h </w:instrText>
          </w:r>
          <w:r>
            <w:fldChar w:fldCharType="separate"/>
          </w:r>
          <w:r>
            <w:t>9</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"_Toc44344043" </w:instrText>
          </w:r>
          <w:r>
            <w:fldChar w:fldCharType="separate"/>
          </w:r>
          <w:r>
            <w:rPr>
              <w:rStyle w:val="14"/>
            </w:rPr>
            <w:t>5.2.2</w:t>
          </w:r>
          <w:r>
            <w:rPr>
              <w:rStyle w:val="14"/>
              <w:rFonts w:hint="eastAsia"/>
            </w:rPr>
            <w:t>检查内容</w:t>
          </w:r>
          <w:r>
            <w:tab/>
          </w:r>
          <w:r>
            <w:fldChar w:fldCharType="begin"/>
          </w:r>
          <w:r>
            <w:instrText xml:space="preserve"> PAGEREF _Toc44344043 \h </w:instrText>
          </w:r>
          <w:r>
            <w:fldChar w:fldCharType="separate"/>
          </w:r>
          <w:r>
            <w:t>10</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"_Toc44344044" </w:instrText>
          </w:r>
          <w:r>
            <w:fldChar w:fldCharType="separate"/>
          </w:r>
          <w:r>
            <w:rPr>
              <w:rStyle w:val="14"/>
            </w:rPr>
            <w:t>5.2.3</w:t>
          </w:r>
          <w:r>
            <w:rPr>
              <w:rStyle w:val="14"/>
              <w:rFonts w:hint="eastAsia"/>
            </w:rPr>
            <w:t>工程设施质量评定结果</w:t>
          </w:r>
          <w:r>
            <w:tab/>
          </w:r>
          <w:r>
            <w:fldChar w:fldCharType="begin"/>
          </w:r>
          <w:r>
            <w:instrText xml:space="preserve"> PAGEREF _Toc44344044 \h </w:instrText>
          </w:r>
          <w:r>
            <w:fldChar w:fldCharType="separate"/>
          </w:r>
          <w:r>
            <w:t>10</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"_Toc44344045" </w:instrText>
          </w:r>
          <w:r>
            <w:fldChar w:fldCharType="separate"/>
          </w:r>
          <w:r>
            <w:rPr>
              <w:rStyle w:val="14"/>
            </w:rPr>
            <w:t>5.3</w:t>
          </w:r>
          <w:r>
            <w:rPr>
              <w:rStyle w:val="14"/>
              <w:rFonts w:hint="eastAsia"/>
            </w:rPr>
            <w:t>植物措施质量评价</w:t>
          </w:r>
          <w:r>
            <w:tab/>
          </w:r>
          <w:r>
            <w:fldChar w:fldCharType="begin"/>
          </w:r>
          <w:r>
            <w:instrText xml:space="preserve"> PAGEREF _Toc44344045 \h </w:instrText>
          </w:r>
          <w:r>
            <w:fldChar w:fldCharType="separate"/>
          </w:r>
          <w:r>
            <w:t>11</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"_Toc44344046" </w:instrText>
          </w:r>
          <w:r>
            <w:fldChar w:fldCharType="separate"/>
          </w:r>
          <w:r>
            <w:rPr>
              <w:rStyle w:val="14"/>
            </w:rPr>
            <w:t>6.</w:t>
          </w:r>
          <w:r>
            <w:rPr>
              <w:rStyle w:val="14"/>
              <w:rFonts w:hint="eastAsia"/>
            </w:rPr>
            <w:t>水土保持监测</w:t>
          </w:r>
          <w:r>
            <w:tab/>
          </w:r>
          <w:r>
            <w:fldChar w:fldCharType="begin"/>
          </w:r>
          <w:r>
            <w:instrText xml:space="preserve"> PAGEREF _Toc44344046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"_Toc44344047" </w:instrText>
          </w:r>
          <w:r>
            <w:fldChar w:fldCharType="separate"/>
          </w:r>
          <w:r>
            <w:rPr>
              <w:rStyle w:val="14"/>
            </w:rPr>
            <w:t>7.</w:t>
          </w:r>
          <w:r>
            <w:rPr>
              <w:rStyle w:val="14"/>
              <w:rFonts w:hint="eastAsia"/>
            </w:rPr>
            <w:t>水土保持监理</w:t>
          </w:r>
          <w:r>
            <w:tab/>
          </w:r>
          <w:r>
            <w:fldChar w:fldCharType="begin"/>
          </w:r>
          <w:r>
            <w:instrText xml:space="preserve"> PAGEREF _Toc44344047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"_Toc44344048" </w:instrText>
          </w:r>
          <w:r>
            <w:fldChar w:fldCharType="separate"/>
          </w:r>
          <w:r>
            <w:rPr>
              <w:rStyle w:val="14"/>
            </w:rPr>
            <w:t>8.</w:t>
          </w:r>
          <w:r>
            <w:rPr>
              <w:rStyle w:val="14"/>
              <w:rFonts w:hint="eastAsia"/>
            </w:rPr>
            <w:t>水行政主管部门监督检查意见落实情况</w:t>
          </w:r>
          <w:r>
            <w:tab/>
          </w:r>
          <w:r>
            <w:fldChar w:fldCharType="begin"/>
          </w:r>
          <w:r>
            <w:instrText xml:space="preserve"> PAGEREF _Toc44344048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"_Toc44344049" </w:instrText>
          </w:r>
          <w:r>
            <w:fldChar w:fldCharType="separate"/>
          </w:r>
          <w:r>
            <w:rPr>
              <w:rStyle w:val="14"/>
            </w:rPr>
            <w:t>9.</w:t>
          </w:r>
          <w:r>
            <w:rPr>
              <w:rStyle w:val="14"/>
              <w:rFonts w:hint="eastAsia"/>
            </w:rPr>
            <w:t>水土保持效果评价</w:t>
          </w:r>
          <w:r>
            <w:tab/>
          </w:r>
          <w:r>
            <w:fldChar w:fldCharType="begin"/>
          </w:r>
          <w:r>
            <w:instrText xml:space="preserve"> PAGEREF _Toc44344049 \h </w:instrText>
          </w:r>
          <w:r>
            <w:fldChar w:fldCharType="separate"/>
          </w:r>
          <w:r>
            <w:t>13</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"_Toc44344050" </w:instrText>
          </w:r>
          <w:r>
            <w:fldChar w:fldCharType="separate"/>
          </w:r>
          <w:r>
            <w:rPr>
              <w:rStyle w:val="14"/>
            </w:rPr>
            <w:t>9.1</w:t>
          </w:r>
          <w:r>
            <w:rPr>
              <w:rStyle w:val="14"/>
              <w:rFonts w:hint="eastAsia"/>
            </w:rPr>
            <w:t>水土流失防治效果</w:t>
          </w:r>
          <w:r>
            <w:tab/>
          </w:r>
          <w:r>
            <w:fldChar w:fldCharType="begin"/>
          </w:r>
          <w:r>
            <w:instrText xml:space="preserve"> PAGEREF _Toc44344050 \h </w:instrText>
          </w:r>
          <w:r>
            <w:fldChar w:fldCharType="separate"/>
          </w:r>
          <w:r>
            <w:t>13</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"_Toc44344051" </w:instrText>
          </w:r>
          <w:r>
            <w:fldChar w:fldCharType="separate"/>
          </w:r>
          <w:r>
            <w:rPr>
              <w:rStyle w:val="14"/>
            </w:rPr>
            <w:t>9.1.1</w:t>
          </w:r>
          <w:r>
            <w:rPr>
              <w:rStyle w:val="14"/>
              <w:rFonts w:hint="eastAsia"/>
            </w:rPr>
            <w:t>扰动土地整治率</w:t>
          </w:r>
          <w:r>
            <w:tab/>
          </w:r>
          <w:r>
            <w:fldChar w:fldCharType="begin"/>
          </w:r>
          <w:r>
            <w:instrText xml:space="preserve"> PAGEREF _Toc44344051 \h </w:instrText>
          </w:r>
          <w:r>
            <w:fldChar w:fldCharType="separate"/>
          </w:r>
          <w:r>
            <w:t>13</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"_Toc44344052" </w:instrText>
          </w:r>
          <w:r>
            <w:fldChar w:fldCharType="separate"/>
          </w:r>
          <w:r>
            <w:rPr>
              <w:rStyle w:val="14"/>
            </w:rPr>
            <w:t>9.1.2</w:t>
          </w:r>
          <w:r>
            <w:rPr>
              <w:rStyle w:val="14"/>
              <w:rFonts w:hint="eastAsia"/>
            </w:rPr>
            <w:t>水土流失总治理度</w:t>
          </w:r>
          <w:r>
            <w:tab/>
          </w:r>
          <w:r>
            <w:fldChar w:fldCharType="begin"/>
          </w:r>
          <w:r>
            <w:instrText xml:space="preserve"> PAGEREF _Toc44344052 \h </w:instrText>
          </w:r>
          <w:r>
            <w:fldChar w:fldCharType="separate"/>
          </w:r>
          <w:r>
            <w:t>13</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"_Toc44344053" </w:instrText>
          </w:r>
          <w:r>
            <w:fldChar w:fldCharType="separate"/>
          </w:r>
          <w:r>
            <w:rPr>
              <w:rStyle w:val="14"/>
            </w:rPr>
            <w:t>9.1.3</w:t>
          </w:r>
          <w:r>
            <w:rPr>
              <w:rStyle w:val="14"/>
              <w:rFonts w:hint="eastAsia"/>
            </w:rPr>
            <w:t>拦渣率</w:t>
          </w:r>
          <w:r>
            <w:tab/>
          </w:r>
          <w:r>
            <w:fldChar w:fldCharType="begin"/>
          </w:r>
          <w:r>
            <w:instrText xml:space="preserve"> PAGEREF _Toc44344053 \h </w:instrText>
          </w:r>
          <w:r>
            <w:fldChar w:fldCharType="separate"/>
          </w:r>
          <w:r>
            <w:t>13</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"_Toc44344054" </w:instrText>
          </w:r>
          <w:r>
            <w:fldChar w:fldCharType="separate"/>
          </w:r>
          <w:r>
            <w:rPr>
              <w:rStyle w:val="14"/>
            </w:rPr>
            <w:t>9.1.4</w:t>
          </w:r>
          <w:r>
            <w:rPr>
              <w:rStyle w:val="14"/>
              <w:rFonts w:hint="eastAsia"/>
            </w:rPr>
            <w:t>土壤流失控制比</w:t>
          </w:r>
          <w:r>
            <w:tab/>
          </w:r>
          <w:r>
            <w:fldChar w:fldCharType="begin"/>
          </w:r>
          <w:r>
            <w:instrText xml:space="preserve"> PAGEREF _Toc44344054 \h </w:instrText>
          </w:r>
          <w:r>
            <w:fldChar w:fldCharType="separate"/>
          </w:r>
          <w:r>
            <w:t>14</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"_Toc44344055" </w:instrText>
          </w:r>
          <w:r>
            <w:fldChar w:fldCharType="separate"/>
          </w:r>
          <w:r>
            <w:rPr>
              <w:rStyle w:val="14"/>
            </w:rPr>
            <w:t>9.1.5</w:t>
          </w:r>
          <w:r>
            <w:rPr>
              <w:rStyle w:val="14"/>
              <w:rFonts w:hint="eastAsia"/>
            </w:rPr>
            <w:t>林草植被恢复率</w:t>
          </w:r>
          <w:r>
            <w:tab/>
          </w:r>
          <w:r>
            <w:fldChar w:fldCharType="begin"/>
          </w:r>
          <w:r>
            <w:instrText xml:space="preserve"> PAGEREF _Toc44344055 \h </w:instrText>
          </w:r>
          <w:r>
            <w:fldChar w:fldCharType="separate"/>
          </w:r>
          <w:r>
            <w:t>14</w:t>
          </w:r>
          <w:r>
            <w:fldChar w:fldCharType="end"/>
          </w:r>
          <w:r>
            <w:fldChar w:fldCharType="end"/>
          </w:r>
        </w:p>
        <w:p>
          <w:pPr>
            <w:pStyle w:val="5"/>
            <w:tabs>
              <w:tab w:val="right" w:leader="dot" w:pos="8296"/>
            </w:tabs>
            <w:ind w:left="960"/>
            <w:rPr>
              <w:rFonts w:asciiTheme="minorHAnsi" w:hAnsiTheme="minorHAnsi" w:eastAsiaTheme="minorEastAsia"/>
              <w:sz w:val="21"/>
            </w:rPr>
          </w:pPr>
          <w:r>
            <w:fldChar w:fldCharType="begin"/>
          </w:r>
          <w:r>
            <w:instrText xml:space="preserve"> HYPERLINK \l "_Toc44344056" </w:instrText>
          </w:r>
          <w:r>
            <w:fldChar w:fldCharType="separate"/>
          </w:r>
          <w:r>
            <w:rPr>
              <w:rStyle w:val="14"/>
            </w:rPr>
            <w:t>9.1.6</w:t>
          </w:r>
          <w:r>
            <w:rPr>
              <w:rStyle w:val="14"/>
              <w:rFonts w:hint="eastAsia"/>
            </w:rPr>
            <w:t>林草覆盖率</w:t>
          </w:r>
          <w:r>
            <w:tab/>
          </w:r>
          <w:r>
            <w:fldChar w:fldCharType="begin"/>
          </w:r>
          <w:r>
            <w:instrText xml:space="preserve"> PAGEREF _Toc44344056 \h </w:instrText>
          </w:r>
          <w:r>
            <w:fldChar w:fldCharType="separate"/>
          </w:r>
          <w:r>
            <w:t>14</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"_Toc44344057" </w:instrText>
          </w:r>
          <w:r>
            <w:fldChar w:fldCharType="separate"/>
          </w:r>
          <w:r>
            <w:rPr>
              <w:rStyle w:val="14"/>
            </w:rPr>
            <w:t>9.2</w:t>
          </w:r>
          <w:r>
            <w:rPr>
              <w:rStyle w:val="14"/>
              <w:rFonts w:hint="eastAsia"/>
            </w:rPr>
            <w:t>综合评价</w:t>
          </w:r>
          <w:r>
            <w:tab/>
          </w:r>
          <w:r>
            <w:fldChar w:fldCharType="begin"/>
          </w:r>
          <w:r>
            <w:instrText xml:space="preserve"> PAGEREF _Toc44344057 \h </w:instrText>
          </w:r>
          <w:r>
            <w:fldChar w:fldCharType="separate"/>
          </w:r>
          <w:r>
            <w:t>14</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"_Toc44344058" </w:instrText>
          </w:r>
          <w:r>
            <w:fldChar w:fldCharType="separate"/>
          </w:r>
          <w:r>
            <w:rPr>
              <w:rStyle w:val="14"/>
            </w:rPr>
            <w:t>10.</w:t>
          </w:r>
          <w:r>
            <w:rPr>
              <w:rStyle w:val="14"/>
              <w:rFonts w:hint="eastAsia"/>
            </w:rPr>
            <w:t>水土保持设施管理维护评价</w:t>
          </w:r>
          <w:r>
            <w:tab/>
          </w:r>
          <w:r>
            <w:fldChar w:fldCharType="begin"/>
          </w:r>
          <w:r>
            <w:instrText xml:space="preserve"> PAGEREF _Toc44344058 \h </w:instrText>
          </w:r>
          <w:r>
            <w:fldChar w:fldCharType="separate"/>
          </w:r>
          <w:r>
            <w:t>16</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"_Toc44344059" </w:instrText>
          </w:r>
          <w:r>
            <w:fldChar w:fldCharType="separate"/>
          </w:r>
          <w:r>
            <w:rPr>
              <w:rStyle w:val="14"/>
            </w:rPr>
            <w:t>11.</w:t>
          </w:r>
          <w:r>
            <w:rPr>
              <w:rStyle w:val="14"/>
              <w:rFonts w:hint="eastAsia"/>
            </w:rPr>
            <w:t>综合结论</w:t>
          </w:r>
          <w:r>
            <w:tab/>
          </w:r>
          <w:r>
            <w:fldChar w:fldCharType="begin"/>
          </w:r>
          <w:r>
            <w:instrText xml:space="preserve"> PAGEREF _Toc44344059 \h </w:instrText>
          </w:r>
          <w:r>
            <w:fldChar w:fldCharType="separate"/>
          </w:r>
          <w:r>
            <w:t>16</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"_Toc44344060" </w:instrText>
          </w:r>
          <w:r>
            <w:fldChar w:fldCharType="separate"/>
          </w:r>
          <w:r>
            <w:rPr>
              <w:rStyle w:val="14"/>
            </w:rPr>
            <w:t>12.</w:t>
          </w:r>
          <w:r>
            <w:rPr>
              <w:rStyle w:val="14"/>
              <w:rFonts w:hint="eastAsia"/>
            </w:rPr>
            <w:t>遗留问题及建议</w:t>
          </w:r>
          <w:r>
            <w:tab/>
          </w:r>
          <w:r>
            <w:fldChar w:fldCharType="begin"/>
          </w:r>
          <w:r>
            <w:instrText xml:space="preserve"> PAGEREF _Toc44344060 \h </w:instrText>
          </w:r>
          <w:r>
            <w:fldChar w:fldCharType="separate"/>
          </w:r>
          <w:r>
            <w:t>17</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"_Toc44344061" </w:instrText>
          </w:r>
          <w:r>
            <w:fldChar w:fldCharType="separate"/>
          </w:r>
          <w:r>
            <w:rPr>
              <w:rStyle w:val="14"/>
            </w:rPr>
            <w:t>12.1</w:t>
          </w:r>
          <w:r>
            <w:rPr>
              <w:rStyle w:val="14"/>
              <w:rFonts w:hint="eastAsia"/>
            </w:rPr>
            <w:t>遗留问题</w:t>
          </w:r>
          <w:r>
            <w:tab/>
          </w:r>
          <w:r>
            <w:fldChar w:fldCharType="begin"/>
          </w:r>
          <w:r>
            <w:instrText xml:space="preserve"> PAGEREF _Toc44344061 \h </w:instrText>
          </w:r>
          <w:r>
            <w:fldChar w:fldCharType="separate"/>
          </w:r>
          <w:r>
            <w:t>17</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"_Toc44344062" </w:instrText>
          </w:r>
          <w:r>
            <w:fldChar w:fldCharType="separate"/>
          </w:r>
          <w:r>
            <w:rPr>
              <w:rStyle w:val="14"/>
            </w:rPr>
            <w:t>12.2</w:t>
          </w:r>
          <w:r>
            <w:rPr>
              <w:rStyle w:val="14"/>
              <w:rFonts w:hint="eastAsia"/>
            </w:rPr>
            <w:t>建议</w:t>
          </w:r>
          <w:r>
            <w:tab/>
          </w:r>
          <w:r>
            <w:fldChar w:fldCharType="begin"/>
          </w:r>
          <w:r>
            <w:instrText xml:space="preserve"> PAGEREF _Toc44344062 \h </w:instrText>
          </w:r>
          <w:r>
            <w:fldChar w:fldCharType="separate"/>
          </w:r>
          <w:r>
            <w:t>17</w:t>
          </w:r>
          <w:r>
            <w:fldChar w:fldCharType="end"/>
          </w:r>
          <w:r>
            <w:fldChar w:fldCharType="end"/>
          </w:r>
        </w:p>
        <w:p>
          <w:pPr>
            <w:pStyle w:val="9"/>
            <w:tabs>
              <w:tab w:val="right" w:leader="dot" w:pos="8296"/>
            </w:tabs>
            <w:rPr>
              <w:rFonts w:asciiTheme="minorHAnsi" w:hAnsiTheme="minorHAnsi" w:eastAsiaTheme="minorEastAsia"/>
              <w:sz w:val="21"/>
            </w:rPr>
          </w:pPr>
          <w:r>
            <w:fldChar w:fldCharType="begin"/>
          </w:r>
          <w:r>
            <w:instrText xml:space="preserve"> HYPERLINK \l "_Toc44344063" </w:instrText>
          </w:r>
          <w:r>
            <w:fldChar w:fldCharType="separate"/>
          </w:r>
          <w:r>
            <w:rPr>
              <w:rStyle w:val="14"/>
            </w:rPr>
            <w:t>13.</w:t>
          </w:r>
          <w:r>
            <w:rPr>
              <w:rStyle w:val="14"/>
              <w:rFonts w:hint="eastAsia"/>
            </w:rPr>
            <w:t>附件及附图</w:t>
          </w:r>
          <w:r>
            <w:tab/>
          </w:r>
          <w:r>
            <w:fldChar w:fldCharType="begin"/>
          </w:r>
          <w:r>
            <w:instrText xml:space="preserve"> PAGEREF _Toc44344063 \h </w:instrText>
          </w:r>
          <w:r>
            <w:fldChar w:fldCharType="separate"/>
          </w:r>
          <w:r>
            <w:t>18</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"_Toc44344064" </w:instrText>
          </w:r>
          <w:r>
            <w:fldChar w:fldCharType="separate"/>
          </w:r>
          <w:r>
            <w:rPr>
              <w:rStyle w:val="14"/>
            </w:rPr>
            <w:t>13.1</w:t>
          </w:r>
          <w:r>
            <w:rPr>
              <w:rStyle w:val="14"/>
              <w:rFonts w:hint="eastAsia"/>
            </w:rPr>
            <w:t>附件</w:t>
          </w:r>
          <w:r>
            <w:tab/>
          </w:r>
          <w:r>
            <w:fldChar w:fldCharType="begin"/>
          </w:r>
          <w:r>
            <w:instrText xml:space="preserve"> PAGEREF _Toc44344064 \h </w:instrText>
          </w:r>
          <w:r>
            <w:fldChar w:fldCharType="separate"/>
          </w:r>
          <w:r>
            <w:t>18</w:t>
          </w:r>
          <w:r>
            <w:fldChar w:fldCharType="end"/>
          </w:r>
          <w:r>
            <w:fldChar w:fldCharType="end"/>
          </w:r>
        </w:p>
        <w:p>
          <w:pPr>
            <w:pStyle w:val="10"/>
            <w:tabs>
              <w:tab w:val="right" w:leader="dot" w:pos="8296"/>
            </w:tabs>
            <w:ind w:left="480"/>
            <w:rPr>
              <w:rFonts w:asciiTheme="minorHAnsi" w:hAnsiTheme="minorHAnsi" w:eastAsiaTheme="minorEastAsia"/>
              <w:sz w:val="21"/>
            </w:rPr>
          </w:pPr>
          <w:r>
            <w:fldChar w:fldCharType="begin"/>
          </w:r>
          <w:r>
            <w:instrText xml:space="preserve"> HYPERLINK \l "_Toc44344065" </w:instrText>
          </w:r>
          <w:r>
            <w:fldChar w:fldCharType="separate"/>
          </w:r>
          <w:r>
            <w:rPr>
              <w:rStyle w:val="14"/>
            </w:rPr>
            <w:t>13.2</w:t>
          </w:r>
          <w:r>
            <w:rPr>
              <w:rStyle w:val="14"/>
              <w:rFonts w:hint="eastAsia"/>
            </w:rPr>
            <w:t>附图</w:t>
          </w:r>
          <w:r>
            <w:tab/>
          </w:r>
          <w:r>
            <w:fldChar w:fldCharType="begin"/>
          </w:r>
          <w:r>
            <w:instrText xml:space="preserve"> PAGEREF _Toc44344065 \h </w:instrText>
          </w:r>
          <w:r>
            <w:fldChar w:fldCharType="separate"/>
          </w:r>
          <w:r>
            <w:t>18</w:t>
          </w:r>
          <w:r>
            <w:fldChar w:fldCharType="end"/>
          </w:r>
          <w:r>
            <w:fldChar w:fldCharType="end"/>
          </w:r>
        </w:p>
        <w:p>
          <w:r>
            <w:rPr>
              <w:b/>
              <w:bCs/>
              <w:lang w:val="zh-CN"/>
            </w:rPr>
            <w:fldChar w:fldCharType="end"/>
          </w:r>
        </w:p>
      </w:sdtContent>
    </w:sdt>
    <w:p>
      <w:pPr>
        <w:jc w:val="center"/>
        <w:rPr>
          <w:rFonts w:cs="Times New Roman"/>
          <w:szCs w:val="28"/>
        </w:rPr>
        <w:sectPr>
          <w:pgSz w:w="11906" w:h="16838"/>
          <w:pgMar w:top="1440" w:right="1800" w:bottom="1440" w:left="1800" w:header="851" w:footer="992" w:gutter="0"/>
          <w:cols w:space="425" w:num="1"/>
          <w:docGrid w:type="lines" w:linePitch="312" w:charSpace="0"/>
        </w:sectPr>
      </w:pPr>
    </w:p>
    <w:p>
      <w:pPr>
        <w:pStyle w:val="2"/>
      </w:pPr>
      <w:bookmarkStart w:id="0" w:name="_Toc44344019"/>
      <w:r>
        <w:rPr>
          <w:rFonts w:hint="eastAsia"/>
        </w:rPr>
        <w:t>1.前言</w:t>
      </w:r>
      <w:bookmarkEnd w:id="0"/>
    </w:p>
    <w:p>
      <w:pPr>
        <w:ind w:firstLine="480" w:firstLineChars="200"/>
        <w:rPr>
          <w:rFonts w:cs="Times New Roman"/>
        </w:rPr>
      </w:pPr>
      <w:r>
        <w:rPr>
          <w:rFonts w:hint="eastAsia" w:cs="Times New Roman"/>
        </w:rPr>
        <w:t>深圳机场公务机二期机库与一期机库一样，主要用于为客户提供公务飞机的停放安保等机库内综合性服务；与此同时，增加电源、气源等方面的基础性配套设施设备建设，客户可在二期机库内自主进行飞机养护、维修等工作。二期机库的建设对于丰富深圳机场公务机地面保障服务内容具有战略意义，有利于充分挖掘市场潜力，把握未来竞争和发展的主动权；有利于提升国际化、现代化的国际城市形象。本项目的建设不仅是必要的，并且具有紧迫性。</w:t>
      </w:r>
    </w:p>
    <w:p>
      <w:pPr>
        <w:pStyle w:val="2"/>
      </w:pPr>
      <w:bookmarkStart w:id="1" w:name="_Toc44344020"/>
      <w:r>
        <w:rPr>
          <w:rFonts w:hint="eastAsia"/>
        </w:rPr>
        <w:t>2.工程概况及工程建设水土流失问题</w:t>
      </w:r>
      <w:bookmarkEnd w:id="1"/>
    </w:p>
    <w:p>
      <w:pPr>
        <w:pStyle w:val="3"/>
      </w:pPr>
      <w:bookmarkStart w:id="2" w:name="_Toc44344021"/>
      <w:r>
        <w:rPr>
          <w:rFonts w:hint="eastAsia"/>
        </w:rPr>
        <w:t>2.1工程概况</w:t>
      </w:r>
      <w:bookmarkEnd w:id="2"/>
    </w:p>
    <w:p>
      <w:pPr>
        <w:ind w:firstLine="480" w:firstLineChars="200"/>
        <w:rPr>
          <w:rFonts w:cs="Times New Roman"/>
        </w:rPr>
      </w:pPr>
      <w:r>
        <w:rPr>
          <w:rFonts w:hint="eastAsia" w:cs="Times New Roman"/>
        </w:rPr>
        <w:t>深圳机场公务机二期机库项目位于深圳市宝安区福永街道宝安机场内。项目建设用地面积18645m（红线面积17500m</w:t>
      </w:r>
      <w:r>
        <w:rPr>
          <w:rFonts w:hint="eastAsia" w:cs="Times New Roman"/>
          <w:vertAlign w:val="superscript"/>
        </w:rPr>
        <w:t>2</w:t>
      </w:r>
      <w:r>
        <w:rPr>
          <w:rFonts w:hint="eastAsia" w:cs="Times New Roman"/>
        </w:rPr>
        <w:t>，临时占地1645m</w:t>
      </w:r>
      <w:r>
        <w:rPr>
          <w:rFonts w:hint="eastAsia" w:cs="Times New Roman"/>
          <w:vertAlign w:val="superscript"/>
        </w:rPr>
        <w:t>2</w:t>
      </w:r>
      <w:r>
        <w:rPr>
          <w:rFonts w:hint="eastAsia" w:cs="Times New Roman"/>
        </w:rPr>
        <w:t>）；拟建1栋1层机库大厅及辅助用房，总建筑面积8100m</w:t>
      </w:r>
      <w:r>
        <w:rPr>
          <w:rFonts w:hint="eastAsia" w:ascii="宋体" w:hAnsi="宋体" w:eastAsia="宋体" w:cs="Times New Roman"/>
        </w:rPr>
        <w:t>²</w:t>
      </w:r>
      <w:r>
        <w:rPr>
          <w:rFonts w:hint="eastAsia" w:ascii="仿宋" w:hAnsi="仿宋" w:cs="Times New Roman"/>
        </w:rPr>
        <w:t>。</w:t>
      </w:r>
    </w:p>
    <w:p>
      <w:pPr>
        <w:ind w:firstLine="480" w:firstLineChars="200"/>
        <w:rPr>
          <w:rFonts w:cs="Times New Roman"/>
        </w:rPr>
      </w:pPr>
      <w:r>
        <w:rPr>
          <w:rFonts w:hint="eastAsia" w:cs="Times New Roman"/>
        </w:rPr>
        <w:t>本项目概算总投资为7170.32万元。本项目建设总工期为10个月，计划于2019年1月开工建设，2020年3月完工。</w:t>
      </w:r>
    </w:p>
    <w:p>
      <w:pPr>
        <w:ind w:firstLine="480" w:firstLineChars="200"/>
        <w:rPr>
          <w:rFonts w:cs="Times New Roman"/>
        </w:rPr>
      </w:pPr>
      <w:r>
        <w:rPr>
          <w:rFonts w:cs="Times New Roman"/>
        </w:rPr>
        <w:t>项目参建单位情况如下</w:t>
      </w:r>
      <w:r>
        <w:rPr>
          <w:rFonts w:hint="eastAsia" w:cs="Times New Roman"/>
        </w:rPr>
        <w:t>：</w:t>
      </w:r>
    </w:p>
    <w:p>
      <w:pPr>
        <w:ind w:firstLine="480" w:firstLineChars="200"/>
        <w:rPr>
          <w:rFonts w:cs="Times New Roman"/>
        </w:rPr>
      </w:pPr>
      <w:r>
        <w:rPr>
          <w:rFonts w:hint="eastAsia" w:cs="Times New Roman"/>
        </w:rPr>
        <w:t>建设单位：深圳市机场（集团）有限公司</w:t>
      </w:r>
    </w:p>
    <w:p>
      <w:pPr>
        <w:ind w:firstLine="480" w:firstLineChars="200"/>
        <w:rPr>
          <w:rFonts w:cs="Times New Roman"/>
        </w:rPr>
      </w:pPr>
      <w:r>
        <w:rPr>
          <w:rFonts w:hint="eastAsia" w:cs="Times New Roman"/>
        </w:rPr>
        <w:t>主体设计单位：中国航空规划设计研究总院有限公司</w:t>
      </w:r>
    </w:p>
    <w:p>
      <w:pPr>
        <w:ind w:firstLine="480" w:firstLineChars="200"/>
        <w:rPr>
          <w:rFonts w:cs="Times New Roman"/>
        </w:rPr>
      </w:pPr>
      <w:r>
        <w:rPr>
          <w:rFonts w:hint="eastAsia" w:cs="Times New Roman"/>
        </w:rPr>
        <w:t>监理单位：深圳市邦迪工程顾问有限公司</w:t>
      </w:r>
    </w:p>
    <w:p>
      <w:pPr>
        <w:ind w:firstLine="480" w:firstLineChars="200"/>
        <w:rPr>
          <w:rFonts w:cs="Times New Roman"/>
        </w:rPr>
      </w:pPr>
      <w:r>
        <w:rPr>
          <w:rFonts w:hint="eastAsia" w:cs="Times New Roman"/>
        </w:rPr>
        <w:t>水土保持方案设计单位：江西省水土保持科学研究院</w:t>
      </w:r>
    </w:p>
    <w:p>
      <w:pPr>
        <w:pStyle w:val="3"/>
      </w:pPr>
      <w:bookmarkStart w:id="3" w:name="_Toc44344022"/>
      <w:r>
        <w:rPr>
          <w:rFonts w:hint="eastAsia"/>
        </w:rPr>
        <w:t>2.2项目区自然和水土流失情况</w:t>
      </w:r>
      <w:bookmarkEnd w:id="3"/>
    </w:p>
    <w:p>
      <w:pPr>
        <w:pStyle w:val="4"/>
      </w:pPr>
      <w:bookmarkStart w:id="4" w:name="_Toc44344023"/>
      <w:r>
        <w:rPr>
          <w:rFonts w:hint="eastAsia"/>
        </w:rPr>
        <w:t>2.2.1地形地质</w:t>
      </w:r>
      <w:bookmarkEnd w:id="4"/>
    </w:p>
    <w:p>
      <w:pPr>
        <w:ind w:firstLine="482" w:firstLineChars="200"/>
        <w:rPr>
          <w:b/>
        </w:rPr>
      </w:pPr>
      <w:r>
        <w:rPr>
          <w:rFonts w:hint="eastAsia"/>
          <w:b/>
        </w:rPr>
        <w:t>（1）地形地貌</w:t>
      </w:r>
    </w:p>
    <w:p>
      <w:pPr>
        <w:ind w:firstLine="480" w:firstLineChars="200"/>
        <w:rPr>
          <w:rFonts w:cs="Times New Roman"/>
        </w:rPr>
      </w:pPr>
      <w:r>
        <w:rPr>
          <w:rFonts w:hint="eastAsia" w:cs="Times New Roman"/>
        </w:rPr>
        <w:t>拟建场地原始地貌为浅海—海岸堆积阶地，地势开阔、平坦；后经填海工程建设改造，场地地势平坦，地表堆积厚度较大的填石层。场地现状标高介于3.21～3.99m。</w:t>
      </w:r>
    </w:p>
    <w:p>
      <w:pPr>
        <w:ind w:firstLine="482" w:firstLineChars="200"/>
        <w:rPr>
          <w:b/>
        </w:rPr>
      </w:pPr>
      <w:r>
        <w:rPr>
          <w:rFonts w:hint="eastAsia"/>
          <w:b/>
        </w:rPr>
        <w:t>（2）地质</w:t>
      </w:r>
    </w:p>
    <w:p>
      <w:pPr>
        <w:ind w:firstLine="480" w:firstLineChars="200"/>
        <w:rPr>
          <w:rFonts w:cs="Times New Roman"/>
        </w:rPr>
      </w:pPr>
      <w:r>
        <w:rPr>
          <w:rFonts w:hint="eastAsia" w:cs="Times New Roman"/>
        </w:rPr>
        <w:t>根据建设单位提供的地质灾害评估报告得知，主要有场地内分布的地层主要有第四系人工填土层、第四系海陆交互相沉积层、第四系残积层，下伏基岩为蓟县系-青白口系混合岩。</w:t>
      </w:r>
    </w:p>
    <w:p>
      <w:pPr>
        <w:pStyle w:val="4"/>
      </w:pPr>
      <w:bookmarkStart w:id="5" w:name="_Toc44344024"/>
      <w:r>
        <w:rPr>
          <w:rFonts w:hint="eastAsia"/>
        </w:rPr>
        <w:t>2.2.2水文气象</w:t>
      </w:r>
      <w:bookmarkEnd w:id="5"/>
    </w:p>
    <w:p>
      <w:pPr>
        <w:ind w:firstLine="482" w:firstLineChars="200"/>
        <w:rPr>
          <w:rFonts w:ascii="仿宋" w:hAnsi="仿宋" w:cs="Times New Roman"/>
          <w:b/>
          <w:szCs w:val="28"/>
        </w:rPr>
      </w:pPr>
      <w:r>
        <w:rPr>
          <w:rFonts w:hint="eastAsia" w:ascii="仿宋" w:hAnsi="仿宋" w:cs="Times New Roman"/>
          <w:b/>
          <w:szCs w:val="28"/>
        </w:rPr>
        <w:t>（1）水文</w:t>
      </w:r>
    </w:p>
    <w:p>
      <w:pPr>
        <w:tabs>
          <w:tab w:val="left" w:pos="2977"/>
        </w:tabs>
        <w:ind w:firstLine="480" w:firstLineChars="200"/>
        <w:rPr>
          <w:rFonts w:cs="Times New Roman"/>
        </w:rPr>
      </w:pPr>
      <w:r>
        <w:rPr>
          <w:rFonts w:hint="eastAsia" w:cs="Times New Roman"/>
        </w:rPr>
        <w:t>本项目用地位于深圳市宝安区福永街道宝安机场园区，属珠江口水系机场北排水渠流域。机场北排水渠南起于候机楼北，沿机场五号路由南向北，于福永河新闸下游排入福永河。渠长1.8km，其中暗涵长1.3km。1990年修建了下游段，梯形土渠，长0.5km。2002年结合修路正在兴建上游段浆砌石双孔盖板涵，长1.3km。河口处还建有双孔闸及排涝泵站。机场北排水渠，全河段已整治，整治总长度1.8km，可达50年一遇防洪标准。</w:t>
      </w:r>
    </w:p>
    <w:p>
      <w:pPr>
        <w:ind w:firstLine="482" w:firstLineChars="200"/>
        <w:rPr>
          <w:rFonts w:ascii="仿宋" w:hAnsi="仿宋" w:cs="Times New Roman"/>
          <w:b/>
          <w:szCs w:val="28"/>
        </w:rPr>
      </w:pPr>
      <w:r>
        <w:rPr>
          <w:rFonts w:hint="eastAsia" w:ascii="仿宋" w:hAnsi="仿宋" w:cs="Times New Roman"/>
          <w:b/>
          <w:szCs w:val="28"/>
        </w:rPr>
        <w:t>（2）气象</w:t>
      </w:r>
    </w:p>
    <w:p>
      <w:pPr>
        <w:ind w:firstLine="480" w:firstLineChars="200"/>
        <w:rPr>
          <w:rFonts w:cs="Times New Roman"/>
        </w:rPr>
      </w:pPr>
      <w:r>
        <w:rPr>
          <w:rFonts w:hint="eastAsia" w:cs="Times New Roman"/>
        </w:rPr>
        <w:t>深圳属南亚热带季风气候，长夏短冬，气候温和，日照充足，雨量充沛。年平均气温23.0℃，历史极端最高气温38.7℃，历史极端最低气温0.2℃；一年中1月平均气温最低，平均为15.4℃，7月平均气温最高平均为28.9℃；年日照时数平均为1837.6h；年降水量平均为1935.8mm，全年86%的雨量出现在汛期（4～9月）。春季天气多变，常出现“乍暖乍冷”的天气，盛行偏东风；夏季长达6个多月（平均夏季长196天），盛行偏南风，高温多雨；秋冬季节盛行东北季风，天气干燥少雨。</w:t>
      </w:r>
    </w:p>
    <w:p>
      <w:pPr>
        <w:ind w:firstLine="480" w:firstLineChars="200"/>
        <w:rPr>
          <w:rFonts w:cs="Times New Roman"/>
        </w:rPr>
      </w:pPr>
      <w:r>
        <w:rPr>
          <w:rFonts w:hint="eastAsia" w:cs="Times New Roman"/>
        </w:rPr>
        <w:t>深圳气候资源丰富，太阳能资源、热量资源、降水资源均居全省前列，但又是灾害性天气多发区，春季常有低温阴雨、强对流、春旱等，少数年份还可出现寒潮；夏季受锋面低槽、热带气旋、季风云团等天气系统的影响，暴雨、雷暴、台风多发；秋季多秋高气爽的晴好天气，是旅游度假的最好季节，但由于雨水少，蒸发大，常有秋旱发生，一些年份还会出现台风和寒潮；冬季雨水稀少，大多数年份都会出现秋冬连旱，寒潮、低温霜冻也是这个季节的主要灾害性天气。</w:t>
      </w:r>
    </w:p>
    <w:p>
      <w:pPr>
        <w:pStyle w:val="4"/>
      </w:pPr>
      <w:bookmarkStart w:id="6" w:name="_Toc44344025"/>
      <w:r>
        <w:rPr>
          <w:rFonts w:hint="eastAsia"/>
        </w:rPr>
        <w:t>2.2.3土壤、植被</w:t>
      </w:r>
      <w:bookmarkEnd w:id="6"/>
    </w:p>
    <w:p>
      <w:pPr>
        <w:ind w:firstLine="482" w:firstLineChars="200"/>
        <w:rPr>
          <w:rFonts w:ascii="仿宋" w:hAnsi="仿宋" w:cs="Times New Roman"/>
          <w:b/>
          <w:szCs w:val="28"/>
        </w:rPr>
      </w:pPr>
      <w:r>
        <w:rPr>
          <w:rFonts w:hint="eastAsia" w:ascii="仿宋" w:hAnsi="仿宋" w:cs="Times New Roman"/>
          <w:b/>
          <w:szCs w:val="28"/>
        </w:rPr>
        <w:t>（1）土壤</w:t>
      </w:r>
    </w:p>
    <w:p>
      <w:pPr>
        <w:ind w:firstLine="480" w:firstLineChars="200"/>
        <w:rPr>
          <w:rFonts w:cs="Times New Roman"/>
        </w:rPr>
      </w:pPr>
      <w:r>
        <w:rPr>
          <w:rFonts w:hint="eastAsia" w:cs="Times New Roman"/>
        </w:rPr>
        <w:t>深圳市地带性土壤为赤红壤，分布在海拔300m以下广阔的丘陵台地。土壤表层有机质多在2.0%左右，而土壤流失严重的侵蚀赤红壤，表层有机质含量仅0.2～0.4%。</w:t>
      </w:r>
    </w:p>
    <w:p>
      <w:pPr>
        <w:ind w:firstLine="482" w:firstLineChars="200"/>
        <w:rPr>
          <w:rFonts w:ascii="仿宋" w:hAnsi="仿宋" w:cs="Times New Roman"/>
          <w:b/>
          <w:szCs w:val="28"/>
        </w:rPr>
      </w:pPr>
      <w:r>
        <w:rPr>
          <w:rFonts w:hint="eastAsia" w:ascii="仿宋" w:hAnsi="仿宋" w:cs="Times New Roman"/>
          <w:b/>
          <w:szCs w:val="28"/>
        </w:rPr>
        <w:t>（2）植被</w:t>
      </w:r>
    </w:p>
    <w:p>
      <w:pPr>
        <w:ind w:firstLine="480" w:firstLineChars="200"/>
        <w:rPr>
          <w:rFonts w:cs="Times New Roman"/>
        </w:rPr>
      </w:pPr>
      <w:r>
        <w:rPr>
          <w:rFonts w:hint="eastAsia" w:cs="Times New Roman"/>
        </w:rPr>
        <w:t>根据水土保持方案描述，项目区内原状主要为硬化地面及部分草坪。</w:t>
      </w:r>
    </w:p>
    <w:p>
      <w:pPr>
        <w:pStyle w:val="4"/>
      </w:pPr>
      <w:bookmarkStart w:id="7" w:name="_Toc44344026"/>
      <w:r>
        <w:rPr>
          <w:rFonts w:hint="eastAsia"/>
        </w:rPr>
        <w:t>2.2.4水土流失情况</w:t>
      </w:r>
      <w:bookmarkEnd w:id="7"/>
    </w:p>
    <w:p>
      <w:pPr>
        <w:ind w:firstLine="480" w:firstLineChars="200"/>
        <w:rPr>
          <w:rFonts w:cs="Times New Roman"/>
        </w:rPr>
      </w:pPr>
      <w:r>
        <w:rPr>
          <w:rFonts w:hint="eastAsia" w:cs="Times New Roman"/>
        </w:rPr>
        <w:t>项目区原状均为硬化地面及绿化，基本无水土流失情况。</w:t>
      </w:r>
    </w:p>
    <w:p>
      <w:pPr>
        <w:pStyle w:val="3"/>
      </w:pPr>
      <w:bookmarkStart w:id="8" w:name="_Toc44344027"/>
      <w:r>
        <w:rPr>
          <w:rFonts w:hint="eastAsia"/>
        </w:rPr>
        <w:t>2.3工程建设水土流失问题</w:t>
      </w:r>
      <w:bookmarkEnd w:id="8"/>
    </w:p>
    <w:p>
      <w:pPr>
        <w:ind w:firstLine="480" w:firstLineChars="200"/>
        <w:rPr>
          <w:rFonts w:cs="Times New Roman"/>
        </w:rPr>
      </w:pPr>
      <w:r>
        <w:rPr>
          <w:rFonts w:hint="eastAsia" w:cs="Times New Roman"/>
        </w:rPr>
        <w:t>根据施工单位及监理单位处收集资料及现场实际情况，本项目建设期实际发生防治责任范围为18645m</w:t>
      </w:r>
      <w:r>
        <w:rPr>
          <w:rFonts w:hint="eastAsia" w:cs="Times New Roman"/>
          <w:vertAlign w:val="superscript"/>
        </w:rPr>
        <w:t>2</w:t>
      </w:r>
      <w:r>
        <w:rPr>
          <w:rFonts w:hint="eastAsia" w:cs="Times New Roman"/>
        </w:rPr>
        <w:t>。项目总开挖土方量约1万m</w:t>
      </w:r>
      <w:r>
        <w:rPr>
          <w:rFonts w:hint="eastAsia" w:cs="Times New Roman"/>
          <w:vertAlign w:val="superscript"/>
        </w:rPr>
        <w:t>3</w:t>
      </w:r>
      <w:r>
        <w:rPr>
          <w:rFonts w:hint="eastAsia" w:cs="Times New Roman"/>
        </w:rPr>
        <w:t>，回填土方量约0.4万m</w:t>
      </w:r>
      <w:r>
        <w:rPr>
          <w:rFonts w:hint="eastAsia" w:cs="Times New Roman"/>
          <w:vertAlign w:val="superscript"/>
        </w:rPr>
        <w:t>3</w:t>
      </w:r>
      <w:r>
        <w:rPr>
          <w:rFonts w:hint="eastAsia" w:cs="Times New Roman"/>
        </w:rPr>
        <w:t>。施工过程中的土方随挖随运，未能及时运走的土方，施工单位均采用临时覆盖措施。</w:t>
      </w:r>
    </w:p>
    <w:p>
      <w:pPr>
        <w:ind w:firstLine="480" w:firstLineChars="200"/>
        <w:rPr>
          <w:rFonts w:cs="Times New Roman"/>
        </w:rPr>
      </w:pPr>
      <w:r>
        <w:rPr>
          <w:rFonts w:hint="eastAsia" w:cs="Times New Roman"/>
        </w:rPr>
        <w:t>施工后期，地面均采用硬化，无裸露地面，水土保持效果较好，无明显水土流失现象。</w:t>
      </w:r>
    </w:p>
    <w:p>
      <w:pPr>
        <w:ind w:firstLine="480" w:firstLineChars="200"/>
        <w:rPr>
          <w:rFonts w:cs="Times New Roman"/>
        </w:rPr>
      </w:pPr>
      <w:r>
        <w:rPr>
          <w:rFonts w:hint="eastAsia" w:cs="Times New Roman"/>
        </w:rPr>
        <w:t>通过核查工程结算资料与完成的水土保持措施工程量，本工程施工建设期实际完成水土保持投资55.69万元。</w:t>
      </w:r>
    </w:p>
    <w:p>
      <w:pPr>
        <w:ind w:firstLine="480" w:firstLineChars="200"/>
        <w:rPr>
          <w:rFonts w:cs="Times New Roman"/>
        </w:rPr>
      </w:pPr>
      <w:r>
        <w:rPr>
          <w:rFonts w:hint="eastAsia" w:cs="Times New Roman"/>
        </w:rPr>
        <w:t>经资料查阅及现场实测复核，本工程水土保持措施主要工程量包括工程措施：实际完成永久排水沟250m，施工围挡240m，临时覆盖5000m</w:t>
      </w:r>
      <w:r>
        <w:rPr>
          <w:rFonts w:hint="eastAsia" w:cs="Times New Roman"/>
          <w:vertAlign w:val="superscript"/>
        </w:rPr>
        <w:t>2</w:t>
      </w:r>
      <w:r>
        <w:rPr>
          <w:rFonts w:hint="eastAsia" w:cs="Times New Roman"/>
        </w:rPr>
        <w:t>，临时绿化面积500m</w:t>
      </w:r>
      <w:r>
        <w:rPr>
          <w:rFonts w:hint="eastAsia" w:cs="Times New Roman"/>
          <w:vertAlign w:val="superscript"/>
        </w:rPr>
        <w:t>2</w:t>
      </w:r>
      <w:r>
        <w:rPr>
          <w:rFonts w:hint="eastAsia" w:cs="Times New Roman"/>
        </w:rPr>
        <w:t>，临时花池2座。</w:t>
      </w:r>
    </w:p>
    <w:p>
      <w:pPr>
        <w:ind w:firstLine="480" w:firstLineChars="200"/>
        <w:rPr>
          <w:rFonts w:cs="Times New Roman"/>
        </w:rPr>
      </w:pPr>
      <w:r>
        <w:rPr>
          <w:rFonts w:hint="eastAsia" w:cs="Times New Roman"/>
        </w:rPr>
        <w:t>水土保持六项防治指标中，扰动土地整治率约95%，水土流失总治理度为98%，土壤流失控制比为2.5，拦渣率95%，林草植被恢复率、林草覆盖率为0。</w:t>
      </w:r>
    </w:p>
    <w:p>
      <w:pPr>
        <w:ind w:firstLine="480" w:firstLineChars="200"/>
        <w:rPr>
          <w:rFonts w:cs="Times New Roman"/>
        </w:rPr>
      </w:pPr>
      <w:r>
        <w:rPr>
          <w:rFonts w:hint="eastAsia" w:cs="Times New Roman"/>
        </w:rPr>
        <w:t>根据《中华人民共和国水土保持法》等法律法规的要求，深圳市机场（集团）有限公司委托江西省水土保持科学研究院进行深圳机场公务机二期机库项目水土保持方案的编制工作，方案编制单位于2018年10月编制完成了《深圳机场公务机二期机库项目水土保持方案报告表》。2018年11月2日，于深圳市宝安区环境与水务局完成水土保持方案备案，并取得备案回执（深宝环水水保备[2018]043号）。</w:t>
      </w:r>
    </w:p>
    <w:p>
      <w:pPr>
        <w:ind w:firstLine="480" w:firstLineChars="200"/>
        <w:rPr>
          <w:rFonts w:cs="Times New Roman"/>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r>
        <w:rPr>
          <w:rFonts w:hint="eastAsia" w:cs="Times New Roman"/>
        </w:rPr>
        <w:t>根据《生产建设项目水土保持设施自在验收规程（试行）》、《开发建设项目水土保持设施验收管理办法》(水利部令第16号)、《深圳市水务局关于规范生产建设项目水土保持设施验收工作的通知》（深水保[2019]617号）等有关规定，深圳市机场（集团有限公司）委托深圳市水务规划设计院股份有限公司于2020年6月编写了《深圳机场公务机二期机库项目水土保持设施验收报告》。</w:t>
      </w:r>
    </w:p>
    <w:p>
      <w:pPr>
        <w:pStyle w:val="2"/>
      </w:pPr>
      <w:bookmarkStart w:id="9" w:name="_Toc44344028"/>
      <w:r>
        <w:rPr>
          <w:rFonts w:hint="eastAsia"/>
        </w:rPr>
        <w:t>3.水土保持方案和设计情况</w:t>
      </w:r>
      <w:bookmarkEnd w:id="9"/>
    </w:p>
    <w:p>
      <w:pPr>
        <w:pStyle w:val="3"/>
        <w:rPr>
          <w:rFonts w:cs="Times New Roman"/>
          <w:b w:val="0"/>
          <w:szCs w:val="28"/>
        </w:rPr>
      </w:pPr>
      <w:bookmarkStart w:id="10" w:name="_Toc44344029"/>
      <w:r>
        <w:rPr>
          <w:rFonts w:hint="eastAsia"/>
        </w:rPr>
        <w:t>3.1.方案报批</w:t>
      </w:r>
      <w:bookmarkEnd w:id="10"/>
    </w:p>
    <w:p>
      <w:pPr>
        <w:ind w:firstLine="480" w:firstLineChars="200"/>
        <w:rPr>
          <w:rFonts w:cs="Times New Roman"/>
        </w:rPr>
      </w:pPr>
      <w:r>
        <w:rPr>
          <w:rFonts w:hint="eastAsia" w:cs="Times New Roman"/>
        </w:rPr>
        <w:t>根据《中华人民共和国水土保持法》、《中华人民共和国水土保持法实施条例》、《开发建设项目水土保持方案管理办法》、《深圳经济特区水土保持条例》、《深圳市水务局关于进一步规范生产建设项目水土保持方案备案工作的通知》（深水保[2019]525号）等有关法律法规的规定，建设单位委托江西省水土保持科学研究院编制了《深圳机场公务机二期机库项目水土保持方案报告表》，并于2018年11月2日，提交至深圳市宝安区环境与水务局，完成水土保持方案备案，取得备案回执（深宝环水水保备[2018]043号）。</w:t>
      </w:r>
    </w:p>
    <w:p>
      <w:pPr>
        <w:pStyle w:val="3"/>
      </w:pPr>
      <w:bookmarkStart w:id="11" w:name="_Toc44344030"/>
      <w:r>
        <w:rPr>
          <w:rFonts w:hint="eastAsia"/>
        </w:rPr>
        <w:t>3.2水土保持设计</w:t>
      </w:r>
      <w:bookmarkEnd w:id="11"/>
    </w:p>
    <w:p>
      <w:pPr>
        <w:pStyle w:val="4"/>
      </w:pPr>
      <w:bookmarkStart w:id="12" w:name="_Toc44344031"/>
      <w:r>
        <w:rPr>
          <w:rFonts w:hint="eastAsia"/>
        </w:rPr>
        <w:t>3.2.1水土流失防治目标</w:t>
      </w:r>
      <w:bookmarkEnd w:id="12"/>
    </w:p>
    <w:p>
      <w:pPr>
        <w:ind w:firstLine="480" w:firstLineChars="200"/>
        <w:rPr>
          <w:rFonts w:cs="Times New Roman"/>
        </w:rPr>
      </w:pPr>
      <w:r>
        <w:rPr>
          <w:rFonts w:hint="eastAsia" w:cs="Times New Roman"/>
        </w:rPr>
        <w:t>根据备案的水土保持方案，具体的水土流失防治目标值见表2-1。</w:t>
      </w:r>
    </w:p>
    <w:p>
      <w:pPr>
        <w:jc w:val="center"/>
        <w:rPr>
          <w:rFonts w:cs="Times New Roman"/>
          <w:b/>
          <w:sz w:val="21"/>
          <w:szCs w:val="21"/>
        </w:rPr>
      </w:pPr>
      <w:r>
        <w:rPr>
          <w:rFonts w:hint="eastAsia" w:cs="Times New Roman"/>
          <w:b/>
          <w:sz w:val="21"/>
          <w:szCs w:val="21"/>
        </w:rPr>
        <w:t>表3-1 方案水土流失防治目标表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4261" w:type="dxa"/>
            <w:vAlign w:val="center"/>
          </w:tcPr>
          <w:p>
            <w:pPr>
              <w:jc w:val="center"/>
              <w:rPr>
                <w:rFonts w:cs="Times New Roman"/>
                <w:b/>
                <w:sz w:val="21"/>
                <w:szCs w:val="21"/>
              </w:rPr>
            </w:pPr>
            <w:r>
              <w:rPr>
                <w:rFonts w:cs="Times New Roman"/>
                <w:b/>
                <w:sz w:val="21"/>
                <w:szCs w:val="21"/>
              </w:rPr>
              <w:t>指标</w:t>
            </w:r>
          </w:p>
        </w:tc>
        <w:tc>
          <w:tcPr>
            <w:tcW w:w="4261" w:type="dxa"/>
            <w:vAlign w:val="center"/>
          </w:tcPr>
          <w:p>
            <w:pPr>
              <w:jc w:val="center"/>
              <w:rPr>
                <w:rFonts w:cs="Times New Roman"/>
                <w:b/>
                <w:sz w:val="21"/>
                <w:szCs w:val="21"/>
              </w:rPr>
            </w:pPr>
            <w:r>
              <w:rPr>
                <w:rFonts w:cs="Times New Roman"/>
                <w:b/>
                <w:sz w:val="21"/>
                <w:szCs w:val="21"/>
              </w:rPr>
              <w:t>防治目标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扰动土地整治率（%）</w:t>
            </w:r>
          </w:p>
        </w:tc>
        <w:tc>
          <w:tcPr>
            <w:tcW w:w="4261" w:type="dxa"/>
            <w:vAlign w:val="center"/>
          </w:tcPr>
          <w:p>
            <w:pPr>
              <w:spacing w:line="240" w:lineRule="auto"/>
              <w:jc w:val="center"/>
              <w:rPr>
                <w:rFonts w:cs="Times New Roman"/>
                <w:sz w:val="21"/>
                <w:szCs w:val="21"/>
              </w:rPr>
            </w:pPr>
            <w:r>
              <w:rPr>
                <w:rFonts w:hint="eastAsia" w:cs="Times New Roman"/>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水土流失总治理度（%）</w:t>
            </w:r>
          </w:p>
        </w:tc>
        <w:tc>
          <w:tcPr>
            <w:tcW w:w="4261" w:type="dxa"/>
            <w:vAlign w:val="center"/>
          </w:tcPr>
          <w:p>
            <w:pPr>
              <w:spacing w:line="240" w:lineRule="auto"/>
              <w:jc w:val="center"/>
              <w:rPr>
                <w:rFonts w:cs="Times New Roman"/>
                <w:sz w:val="21"/>
                <w:szCs w:val="21"/>
              </w:rPr>
            </w:pPr>
            <w:r>
              <w:rPr>
                <w:rFonts w:hint="eastAsia" w:cs="Times New Roman"/>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土壤流失控制比</w:t>
            </w:r>
          </w:p>
        </w:tc>
        <w:tc>
          <w:tcPr>
            <w:tcW w:w="4261" w:type="dxa"/>
            <w:vAlign w:val="center"/>
          </w:tcPr>
          <w:p>
            <w:pPr>
              <w:spacing w:line="240" w:lineRule="auto"/>
              <w:jc w:val="center"/>
              <w:rPr>
                <w:rFonts w:cs="Times New Roman"/>
                <w:sz w:val="21"/>
                <w:szCs w:val="21"/>
              </w:rPr>
            </w:pPr>
            <w:r>
              <w:rPr>
                <w:rFonts w:hint="eastAsia"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拦渣率（%）</w:t>
            </w:r>
          </w:p>
        </w:tc>
        <w:tc>
          <w:tcPr>
            <w:tcW w:w="4261" w:type="dxa"/>
            <w:vAlign w:val="center"/>
          </w:tcPr>
          <w:p>
            <w:pPr>
              <w:spacing w:line="240" w:lineRule="auto"/>
              <w:jc w:val="center"/>
              <w:rPr>
                <w:rFonts w:cs="Times New Roman"/>
                <w:sz w:val="21"/>
                <w:szCs w:val="21"/>
              </w:rPr>
            </w:pPr>
            <w:r>
              <w:rPr>
                <w:rFonts w:hint="eastAsia" w:cs="Times New Roman"/>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林草植被恢复率（%）</w:t>
            </w:r>
          </w:p>
        </w:tc>
        <w:tc>
          <w:tcPr>
            <w:tcW w:w="4261" w:type="dxa"/>
            <w:vAlign w:val="center"/>
          </w:tcPr>
          <w:p>
            <w:pPr>
              <w:spacing w:line="240" w:lineRule="auto"/>
              <w:jc w:val="center"/>
              <w:rPr>
                <w:rFonts w:cs="Times New Roman"/>
                <w:sz w:val="21"/>
                <w:szCs w:val="21"/>
              </w:rPr>
            </w:pPr>
            <w:r>
              <w:rPr>
                <w:rFonts w:hint="eastAsia" w:cs="Times New Roman"/>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adjustRightInd w:val="0"/>
              <w:snapToGrid w:val="0"/>
              <w:spacing w:line="240" w:lineRule="auto"/>
              <w:jc w:val="center"/>
              <w:rPr>
                <w:rFonts w:cs="Times New Roman"/>
                <w:sz w:val="21"/>
                <w:szCs w:val="21"/>
              </w:rPr>
            </w:pPr>
            <w:r>
              <w:rPr>
                <w:rFonts w:cs="Times New Roman"/>
                <w:sz w:val="21"/>
                <w:szCs w:val="21"/>
              </w:rPr>
              <w:t>林草覆盖率（%）</w:t>
            </w:r>
          </w:p>
        </w:tc>
        <w:tc>
          <w:tcPr>
            <w:tcW w:w="4261" w:type="dxa"/>
            <w:vAlign w:val="center"/>
          </w:tcPr>
          <w:p>
            <w:pPr>
              <w:spacing w:line="240" w:lineRule="auto"/>
              <w:jc w:val="center"/>
              <w:rPr>
                <w:rFonts w:cs="Times New Roman"/>
                <w:sz w:val="21"/>
                <w:szCs w:val="21"/>
              </w:rPr>
            </w:pPr>
            <w:r>
              <w:rPr>
                <w:rFonts w:hint="eastAsia" w:cs="Times New Roman"/>
                <w:sz w:val="21"/>
                <w:szCs w:val="21"/>
              </w:rPr>
              <w:t>27</w:t>
            </w:r>
          </w:p>
        </w:tc>
      </w:tr>
    </w:tbl>
    <w:p>
      <w:pPr>
        <w:pStyle w:val="4"/>
      </w:pPr>
      <w:bookmarkStart w:id="13" w:name="_Toc44344032"/>
      <w:r>
        <w:rPr>
          <w:rFonts w:hint="eastAsia"/>
        </w:rPr>
        <w:t>3.2.2水土保持工程量</w:t>
      </w:r>
      <w:bookmarkEnd w:id="13"/>
    </w:p>
    <w:p>
      <w:pPr>
        <w:ind w:firstLine="480" w:firstLineChars="200"/>
        <w:rPr>
          <w:rFonts w:cs="Times New Roman"/>
        </w:rPr>
      </w:pPr>
      <w:r>
        <w:rPr>
          <w:rFonts w:hint="eastAsia" w:cs="Times New Roman"/>
        </w:rPr>
        <w:t>根据水土保持方案报告表，本工程水土保措施工程量见下表。</w:t>
      </w:r>
    </w:p>
    <w:p>
      <w:pPr>
        <w:ind w:firstLine="422" w:firstLineChars="200"/>
        <w:jc w:val="center"/>
        <w:rPr>
          <w:rFonts w:cs="Times New Roman"/>
          <w:b/>
          <w:sz w:val="21"/>
          <w:szCs w:val="21"/>
        </w:rPr>
      </w:pPr>
      <w:r>
        <w:rPr>
          <w:rFonts w:hint="eastAsia" w:cs="Times New Roman"/>
          <w:b/>
          <w:sz w:val="21"/>
          <w:szCs w:val="21"/>
        </w:rPr>
        <w:t>表3-2 设计水土保持措施工程量</w:t>
      </w:r>
    </w:p>
    <w:tbl>
      <w:tblPr>
        <w:tblStyle w:val="12"/>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4111"/>
        <w:gridCol w:w="708"/>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b/>
                <w:sz w:val="21"/>
                <w:szCs w:val="21"/>
              </w:rPr>
            </w:pPr>
            <w:r>
              <w:rPr>
                <w:rFonts w:hint="eastAsia" w:cs="Times New Roman"/>
                <w:b/>
                <w:sz w:val="21"/>
                <w:szCs w:val="21"/>
              </w:rPr>
              <w:t>序号</w:t>
            </w:r>
          </w:p>
        </w:tc>
        <w:tc>
          <w:tcPr>
            <w:tcW w:w="1701" w:type="dxa"/>
            <w:vAlign w:val="center"/>
          </w:tcPr>
          <w:p>
            <w:pPr>
              <w:spacing w:line="240" w:lineRule="auto"/>
              <w:jc w:val="center"/>
              <w:rPr>
                <w:rFonts w:cs="Times New Roman"/>
                <w:b/>
                <w:sz w:val="21"/>
                <w:szCs w:val="21"/>
              </w:rPr>
            </w:pPr>
            <w:r>
              <w:rPr>
                <w:rFonts w:hint="eastAsia" w:cs="Times New Roman"/>
                <w:b/>
                <w:sz w:val="21"/>
                <w:szCs w:val="21"/>
              </w:rPr>
              <w:t>项目</w:t>
            </w:r>
          </w:p>
        </w:tc>
        <w:tc>
          <w:tcPr>
            <w:tcW w:w="4111" w:type="dxa"/>
            <w:vAlign w:val="center"/>
          </w:tcPr>
          <w:p>
            <w:pPr>
              <w:spacing w:line="240" w:lineRule="auto"/>
              <w:jc w:val="center"/>
              <w:rPr>
                <w:rFonts w:cs="Times New Roman"/>
                <w:b/>
                <w:sz w:val="21"/>
                <w:szCs w:val="21"/>
              </w:rPr>
            </w:pPr>
            <w:r>
              <w:rPr>
                <w:rFonts w:hint="eastAsia" w:cs="Times New Roman"/>
                <w:b/>
                <w:sz w:val="21"/>
                <w:szCs w:val="21"/>
              </w:rPr>
              <w:t>规格</w:t>
            </w:r>
          </w:p>
        </w:tc>
        <w:tc>
          <w:tcPr>
            <w:tcW w:w="708" w:type="dxa"/>
            <w:vAlign w:val="center"/>
          </w:tcPr>
          <w:p>
            <w:pPr>
              <w:spacing w:line="240" w:lineRule="auto"/>
              <w:jc w:val="center"/>
              <w:rPr>
                <w:rFonts w:cs="Times New Roman"/>
                <w:b/>
                <w:sz w:val="21"/>
                <w:szCs w:val="21"/>
              </w:rPr>
            </w:pPr>
            <w:r>
              <w:rPr>
                <w:rFonts w:hint="eastAsia" w:cs="Times New Roman"/>
                <w:b/>
                <w:sz w:val="21"/>
                <w:szCs w:val="21"/>
              </w:rPr>
              <w:t>单位</w:t>
            </w:r>
          </w:p>
        </w:tc>
        <w:tc>
          <w:tcPr>
            <w:tcW w:w="851" w:type="dxa"/>
            <w:vAlign w:val="center"/>
          </w:tcPr>
          <w:p>
            <w:pPr>
              <w:spacing w:line="240" w:lineRule="auto"/>
              <w:jc w:val="center"/>
              <w:rPr>
                <w:rFonts w:cs="Times New Roman"/>
                <w:b/>
                <w:sz w:val="21"/>
                <w:szCs w:val="21"/>
              </w:rPr>
            </w:pPr>
            <w:r>
              <w:rPr>
                <w:rFonts w:hint="eastAsia" w:cs="Times New Roman"/>
                <w:b/>
                <w:sz w:val="21"/>
                <w:szCs w:val="21"/>
              </w:rPr>
              <w:t>数量</w:t>
            </w:r>
          </w:p>
        </w:tc>
        <w:tc>
          <w:tcPr>
            <w:tcW w:w="1134" w:type="dxa"/>
            <w:vAlign w:val="center"/>
          </w:tcPr>
          <w:p>
            <w:pPr>
              <w:spacing w:line="240" w:lineRule="auto"/>
              <w:jc w:val="center"/>
              <w:rPr>
                <w:rFonts w:cs="Times New Roman"/>
                <w:b/>
                <w:sz w:val="21"/>
                <w:szCs w:val="21"/>
              </w:rPr>
            </w:pPr>
            <w:r>
              <w:rPr>
                <w:rFonts w:hint="eastAsia"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1</w:t>
            </w:r>
          </w:p>
        </w:tc>
        <w:tc>
          <w:tcPr>
            <w:tcW w:w="1701" w:type="dxa"/>
            <w:vAlign w:val="center"/>
          </w:tcPr>
          <w:p>
            <w:pPr>
              <w:spacing w:line="240" w:lineRule="auto"/>
              <w:jc w:val="center"/>
              <w:rPr>
                <w:rFonts w:cs="Times New Roman"/>
                <w:sz w:val="21"/>
                <w:szCs w:val="21"/>
              </w:rPr>
            </w:pPr>
            <w:r>
              <w:rPr>
                <w:rFonts w:hint="eastAsia" w:cs="Times New Roman"/>
                <w:sz w:val="21"/>
                <w:szCs w:val="21"/>
              </w:rPr>
              <w:t>施工围挡</w:t>
            </w:r>
          </w:p>
        </w:tc>
        <w:tc>
          <w:tcPr>
            <w:tcW w:w="4111" w:type="dxa"/>
            <w:vAlign w:val="center"/>
          </w:tcPr>
          <w:p>
            <w:pPr>
              <w:spacing w:line="240" w:lineRule="auto"/>
              <w:jc w:val="center"/>
              <w:rPr>
                <w:rFonts w:cs="Times New Roman"/>
                <w:sz w:val="21"/>
                <w:szCs w:val="21"/>
              </w:rPr>
            </w:pPr>
            <w:r>
              <w:rPr>
                <w:rFonts w:hint="eastAsia" w:cs="Times New Roman"/>
                <w:sz w:val="21"/>
                <w:szCs w:val="21"/>
              </w:rPr>
              <w:t>/</w:t>
            </w:r>
          </w:p>
        </w:tc>
        <w:tc>
          <w:tcPr>
            <w:tcW w:w="708" w:type="dxa"/>
            <w:vAlign w:val="center"/>
          </w:tcPr>
          <w:p>
            <w:pPr>
              <w:spacing w:line="240" w:lineRule="auto"/>
              <w:jc w:val="center"/>
              <w:rPr>
                <w:rFonts w:cs="Times New Roman"/>
                <w:sz w:val="21"/>
                <w:szCs w:val="21"/>
              </w:rPr>
            </w:pPr>
            <w:r>
              <w:rPr>
                <w:rFonts w:hint="eastAsia" w:cs="Times New Roman"/>
                <w:sz w:val="21"/>
                <w:szCs w:val="21"/>
              </w:rPr>
              <w:t>m</w:t>
            </w:r>
          </w:p>
        </w:tc>
        <w:tc>
          <w:tcPr>
            <w:tcW w:w="851" w:type="dxa"/>
            <w:vAlign w:val="center"/>
          </w:tcPr>
          <w:p>
            <w:pPr>
              <w:spacing w:line="240" w:lineRule="auto"/>
              <w:jc w:val="center"/>
              <w:rPr>
                <w:rFonts w:cs="Times New Roman"/>
                <w:sz w:val="21"/>
                <w:szCs w:val="21"/>
              </w:rPr>
            </w:pPr>
            <w:r>
              <w:rPr>
                <w:rFonts w:hint="eastAsia" w:cs="Times New Roman"/>
                <w:sz w:val="21"/>
                <w:szCs w:val="21"/>
              </w:rPr>
              <w:t>417</w:t>
            </w:r>
          </w:p>
        </w:tc>
        <w:tc>
          <w:tcPr>
            <w:tcW w:w="1134" w:type="dxa"/>
            <w:vAlign w:val="center"/>
          </w:tcPr>
          <w:p>
            <w:pPr>
              <w:spacing w:line="240" w:lineRule="auto"/>
              <w:jc w:val="center"/>
              <w:rPr>
                <w:rFonts w:cs="Times New Roman"/>
                <w:sz w:val="21"/>
                <w:szCs w:val="21"/>
              </w:rPr>
            </w:pPr>
            <w:r>
              <w:rPr>
                <w:rFonts w:hint="eastAsia"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2</w:t>
            </w:r>
          </w:p>
        </w:tc>
        <w:tc>
          <w:tcPr>
            <w:tcW w:w="1701" w:type="dxa"/>
            <w:vAlign w:val="center"/>
          </w:tcPr>
          <w:p>
            <w:pPr>
              <w:spacing w:line="240" w:lineRule="auto"/>
              <w:jc w:val="center"/>
              <w:rPr>
                <w:rFonts w:cs="Times New Roman"/>
                <w:sz w:val="21"/>
                <w:szCs w:val="21"/>
              </w:rPr>
            </w:pPr>
            <w:r>
              <w:rPr>
                <w:rFonts w:cs="Times New Roman"/>
                <w:sz w:val="21"/>
                <w:szCs w:val="21"/>
              </w:rPr>
              <w:t>施工围挡</w:t>
            </w:r>
          </w:p>
        </w:tc>
        <w:tc>
          <w:tcPr>
            <w:tcW w:w="4111" w:type="dxa"/>
            <w:vAlign w:val="center"/>
          </w:tcPr>
          <w:p>
            <w:pPr>
              <w:spacing w:line="240" w:lineRule="auto"/>
              <w:jc w:val="center"/>
              <w:rPr>
                <w:rFonts w:cs="Times New Roman"/>
                <w:sz w:val="21"/>
                <w:szCs w:val="21"/>
              </w:rPr>
            </w:pPr>
            <w:r>
              <w:rPr>
                <w:rFonts w:hint="eastAsia" w:cs="Times New Roman"/>
                <w:sz w:val="21"/>
                <w:szCs w:val="21"/>
              </w:rPr>
              <w:t>/</w:t>
            </w:r>
          </w:p>
        </w:tc>
        <w:tc>
          <w:tcPr>
            <w:tcW w:w="708" w:type="dxa"/>
            <w:vAlign w:val="center"/>
          </w:tcPr>
          <w:p>
            <w:pPr>
              <w:spacing w:line="240" w:lineRule="auto"/>
              <w:jc w:val="center"/>
              <w:rPr>
                <w:rFonts w:cs="Times New Roman"/>
                <w:sz w:val="21"/>
                <w:szCs w:val="21"/>
              </w:rPr>
            </w:pPr>
            <w:r>
              <w:rPr>
                <w:rFonts w:hint="eastAsia" w:cs="Times New Roman"/>
                <w:sz w:val="21"/>
                <w:szCs w:val="21"/>
              </w:rPr>
              <w:t>m</w:t>
            </w:r>
          </w:p>
        </w:tc>
        <w:tc>
          <w:tcPr>
            <w:tcW w:w="851" w:type="dxa"/>
            <w:vAlign w:val="center"/>
          </w:tcPr>
          <w:p>
            <w:pPr>
              <w:spacing w:line="240" w:lineRule="auto"/>
              <w:jc w:val="center"/>
              <w:rPr>
                <w:rFonts w:cs="Times New Roman"/>
                <w:sz w:val="21"/>
                <w:szCs w:val="21"/>
              </w:rPr>
            </w:pPr>
            <w:r>
              <w:rPr>
                <w:rFonts w:hint="eastAsia" w:cs="Times New Roman"/>
                <w:sz w:val="21"/>
                <w:szCs w:val="21"/>
              </w:rPr>
              <w:t>162</w:t>
            </w:r>
          </w:p>
        </w:tc>
        <w:tc>
          <w:tcPr>
            <w:tcW w:w="1134" w:type="dxa"/>
            <w:vAlign w:val="center"/>
          </w:tcPr>
          <w:p>
            <w:pPr>
              <w:spacing w:line="240" w:lineRule="auto"/>
              <w:jc w:val="center"/>
              <w:rPr>
                <w:rFonts w:cs="Times New Roman"/>
                <w:sz w:val="21"/>
                <w:szCs w:val="21"/>
              </w:rPr>
            </w:pPr>
            <w:r>
              <w:rPr>
                <w:rFonts w:cs="Times New Roman"/>
                <w:sz w:val="21"/>
                <w:szCs w:val="21"/>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3</w:t>
            </w:r>
          </w:p>
        </w:tc>
        <w:tc>
          <w:tcPr>
            <w:tcW w:w="1701" w:type="dxa"/>
            <w:vAlign w:val="center"/>
          </w:tcPr>
          <w:p>
            <w:pPr>
              <w:spacing w:line="240" w:lineRule="auto"/>
              <w:jc w:val="center"/>
              <w:rPr>
                <w:rFonts w:cs="Times New Roman"/>
                <w:sz w:val="21"/>
                <w:szCs w:val="21"/>
              </w:rPr>
            </w:pPr>
            <w:r>
              <w:rPr>
                <w:rFonts w:cs="Times New Roman"/>
                <w:sz w:val="21"/>
                <w:szCs w:val="21"/>
              </w:rPr>
              <w:t>盖板沟</w:t>
            </w:r>
          </w:p>
        </w:tc>
        <w:tc>
          <w:tcPr>
            <w:tcW w:w="4111" w:type="dxa"/>
            <w:vAlign w:val="center"/>
          </w:tcPr>
          <w:p>
            <w:pPr>
              <w:spacing w:line="240" w:lineRule="auto"/>
              <w:jc w:val="center"/>
              <w:rPr>
                <w:rFonts w:cs="Times New Roman"/>
                <w:sz w:val="21"/>
                <w:szCs w:val="21"/>
              </w:rPr>
            </w:pPr>
            <w:r>
              <w:rPr>
                <w:rFonts w:hint="eastAsia" w:cs="Times New Roman"/>
                <w:sz w:val="21"/>
                <w:szCs w:val="21"/>
              </w:rPr>
              <w:t>1.0×（2.07~2.21）m</w:t>
            </w:r>
          </w:p>
        </w:tc>
        <w:tc>
          <w:tcPr>
            <w:tcW w:w="708" w:type="dxa"/>
            <w:vAlign w:val="center"/>
          </w:tcPr>
          <w:p>
            <w:pPr>
              <w:spacing w:line="240" w:lineRule="auto"/>
              <w:jc w:val="center"/>
              <w:rPr>
                <w:rFonts w:cs="Times New Roman"/>
                <w:sz w:val="21"/>
                <w:szCs w:val="21"/>
              </w:rPr>
            </w:pPr>
            <w:r>
              <w:rPr>
                <w:rFonts w:hint="eastAsia" w:cs="Times New Roman"/>
                <w:sz w:val="21"/>
                <w:szCs w:val="21"/>
              </w:rPr>
              <w:t>m</w:t>
            </w:r>
          </w:p>
        </w:tc>
        <w:tc>
          <w:tcPr>
            <w:tcW w:w="851" w:type="dxa"/>
            <w:vAlign w:val="center"/>
          </w:tcPr>
          <w:p>
            <w:pPr>
              <w:spacing w:line="240" w:lineRule="auto"/>
              <w:jc w:val="center"/>
              <w:rPr>
                <w:rFonts w:cs="Times New Roman"/>
                <w:sz w:val="21"/>
                <w:szCs w:val="21"/>
              </w:rPr>
            </w:pPr>
            <w:r>
              <w:rPr>
                <w:rFonts w:hint="eastAsia" w:cs="Times New Roman"/>
                <w:sz w:val="21"/>
                <w:szCs w:val="21"/>
              </w:rPr>
              <w:t>408</w:t>
            </w:r>
          </w:p>
        </w:tc>
        <w:tc>
          <w:tcPr>
            <w:tcW w:w="1134" w:type="dxa"/>
            <w:vAlign w:val="center"/>
          </w:tcPr>
          <w:p>
            <w:pPr>
              <w:spacing w:line="240" w:lineRule="auto"/>
              <w:jc w:val="center"/>
              <w:rPr>
                <w:rFonts w:cs="Times New Roman"/>
                <w:sz w:val="21"/>
                <w:szCs w:val="21"/>
              </w:rPr>
            </w:pPr>
            <w:r>
              <w:rPr>
                <w:rFonts w:cs="Times New Roman"/>
                <w:sz w:val="21"/>
                <w:szCs w:val="21"/>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4</w:t>
            </w:r>
          </w:p>
        </w:tc>
        <w:tc>
          <w:tcPr>
            <w:tcW w:w="1701" w:type="dxa"/>
            <w:vAlign w:val="center"/>
          </w:tcPr>
          <w:p>
            <w:pPr>
              <w:spacing w:line="240" w:lineRule="auto"/>
              <w:jc w:val="center"/>
              <w:rPr>
                <w:rFonts w:cs="Times New Roman"/>
                <w:sz w:val="21"/>
                <w:szCs w:val="21"/>
              </w:rPr>
            </w:pPr>
            <w:r>
              <w:rPr>
                <w:rFonts w:hint="eastAsia" w:cs="Times New Roman"/>
                <w:sz w:val="21"/>
                <w:szCs w:val="21"/>
              </w:rPr>
              <w:t>I型排水沟</w:t>
            </w:r>
          </w:p>
        </w:tc>
        <w:tc>
          <w:tcPr>
            <w:tcW w:w="4111" w:type="dxa"/>
            <w:vAlign w:val="center"/>
          </w:tcPr>
          <w:p>
            <w:pPr>
              <w:spacing w:line="240" w:lineRule="auto"/>
              <w:jc w:val="center"/>
              <w:rPr>
                <w:rFonts w:cs="Times New Roman"/>
                <w:sz w:val="21"/>
                <w:szCs w:val="21"/>
              </w:rPr>
            </w:pPr>
            <w:r>
              <w:rPr>
                <w:rFonts w:hint="eastAsia" w:cs="Times New Roman"/>
                <w:sz w:val="21"/>
                <w:szCs w:val="21"/>
              </w:rPr>
              <w:t>0.3×0.3m</w:t>
            </w:r>
          </w:p>
        </w:tc>
        <w:tc>
          <w:tcPr>
            <w:tcW w:w="708" w:type="dxa"/>
            <w:vAlign w:val="center"/>
          </w:tcPr>
          <w:p>
            <w:pPr>
              <w:spacing w:line="240" w:lineRule="auto"/>
              <w:jc w:val="center"/>
              <w:rPr>
                <w:rFonts w:cs="Times New Roman"/>
                <w:sz w:val="21"/>
                <w:szCs w:val="21"/>
              </w:rPr>
            </w:pPr>
            <w:r>
              <w:rPr>
                <w:rFonts w:hint="eastAsia" w:cs="Times New Roman"/>
                <w:sz w:val="21"/>
                <w:szCs w:val="21"/>
              </w:rPr>
              <w:t>m</w:t>
            </w:r>
          </w:p>
        </w:tc>
        <w:tc>
          <w:tcPr>
            <w:tcW w:w="851" w:type="dxa"/>
            <w:vAlign w:val="center"/>
          </w:tcPr>
          <w:p>
            <w:pPr>
              <w:spacing w:line="240" w:lineRule="auto"/>
              <w:jc w:val="center"/>
              <w:rPr>
                <w:rFonts w:cs="Times New Roman"/>
                <w:sz w:val="21"/>
                <w:szCs w:val="21"/>
              </w:rPr>
            </w:pPr>
            <w:r>
              <w:rPr>
                <w:rFonts w:hint="eastAsia" w:cs="Times New Roman"/>
                <w:sz w:val="21"/>
                <w:szCs w:val="21"/>
              </w:rPr>
              <w:t>317</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5</w:t>
            </w:r>
          </w:p>
        </w:tc>
        <w:tc>
          <w:tcPr>
            <w:tcW w:w="1701" w:type="dxa"/>
            <w:vAlign w:val="center"/>
          </w:tcPr>
          <w:p>
            <w:pPr>
              <w:spacing w:line="240" w:lineRule="auto"/>
              <w:jc w:val="center"/>
              <w:rPr>
                <w:rFonts w:cs="Times New Roman"/>
                <w:sz w:val="21"/>
                <w:szCs w:val="21"/>
              </w:rPr>
            </w:pPr>
            <w:r>
              <w:rPr>
                <w:rFonts w:hint="eastAsia" w:cs="Times New Roman"/>
                <w:sz w:val="21"/>
                <w:szCs w:val="21"/>
              </w:rPr>
              <w:t>I型沉砂池</w:t>
            </w:r>
          </w:p>
        </w:tc>
        <w:tc>
          <w:tcPr>
            <w:tcW w:w="4111" w:type="dxa"/>
            <w:vAlign w:val="center"/>
          </w:tcPr>
          <w:p>
            <w:pPr>
              <w:spacing w:line="240" w:lineRule="auto"/>
              <w:jc w:val="center"/>
              <w:rPr>
                <w:rFonts w:cs="Times New Roman"/>
                <w:sz w:val="21"/>
                <w:szCs w:val="21"/>
              </w:rPr>
            </w:pPr>
            <w:r>
              <w:rPr>
                <w:rFonts w:hint="eastAsia" w:cs="Times New Roman"/>
                <w:sz w:val="21"/>
                <w:szCs w:val="21"/>
              </w:rPr>
              <w:t>2×1.5×1.5m</w:t>
            </w:r>
          </w:p>
        </w:tc>
        <w:tc>
          <w:tcPr>
            <w:tcW w:w="708" w:type="dxa"/>
            <w:vAlign w:val="center"/>
          </w:tcPr>
          <w:p>
            <w:pPr>
              <w:spacing w:line="240" w:lineRule="auto"/>
              <w:jc w:val="center"/>
              <w:rPr>
                <w:rFonts w:cs="Times New Roman"/>
                <w:sz w:val="21"/>
                <w:szCs w:val="21"/>
              </w:rPr>
            </w:pPr>
            <w:r>
              <w:rPr>
                <w:rFonts w:hint="eastAsia" w:cs="Times New Roman"/>
                <w:sz w:val="21"/>
                <w:szCs w:val="21"/>
              </w:rPr>
              <w:t>座</w:t>
            </w:r>
          </w:p>
        </w:tc>
        <w:tc>
          <w:tcPr>
            <w:tcW w:w="851" w:type="dxa"/>
            <w:vAlign w:val="center"/>
          </w:tcPr>
          <w:p>
            <w:pPr>
              <w:spacing w:line="240" w:lineRule="auto"/>
              <w:jc w:val="center"/>
              <w:rPr>
                <w:rFonts w:cs="Times New Roman"/>
                <w:sz w:val="21"/>
                <w:szCs w:val="21"/>
              </w:rPr>
            </w:pPr>
            <w:r>
              <w:rPr>
                <w:rFonts w:hint="eastAsia" w:cs="Times New Roman"/>
                <w:sz w:val="21"/>
                <w:szCs w:val="21"/>
              </w:rPr>
              <w:t>3</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6</w:t>
            </w:r>
          </w:p>
        </w:tc>
        <w:tc>
          <w:tcPr>
            <w:tcW w:w="1701" w:type="dxa"/>
            <w:vAlign w:val="center"/>
          </w:tcPr>
          <w:p>
            <w:pPr>
              <w:spacing w:line="240" w:lineRule="auto"/>
              <w:jc w:val="center"/>
              <w:rPr>
                <w:rFonts w:cs="Times New Roman"/>
                <w:sz w:val="21"/>
                <w:szCs w:val="21"/>
              </w:rPr>
            </w:pPr>
            <w:r>
              <w:rPr>
                <w:rFonts w:hint="eastAsia" w:cs="Times New Roman"/>
                <w:sz w:val="21"/>
                <w:szCs w:val="21"/>
              </w:rPr>
              <w:t>II型沉砂池</w:t>
            </w:r>
          </w:p>
        </w:tc>
        <w:tc>
          <w:tcPr>
            <w:tcW w:w="4111" w:type="dxa"/>
            <w:vAlign w:val="center"/>
          </w:tcPr>
          <w:p>
            <w:pPr>
              <w:spacing w:line="240" w:lineRule="auto"/>
              <w:jc w:val="center"/>
              <w:rPr>
                <w:rFonts w:cs="Times New Roman"/>
                <w:sz w:val="21"/>
                <w:szCs w:val="21"/>
              </w:rPr>
            </w:pPr>
            <w:r>
              <w:rPr>
                <w:rFonts w:hint="eastAsia" w:cs="Times New Roman"/>
                <w:sz w:val="21"/>
                <w:szCs w:val="21"/>
              </w:rPr>
              <w:t>3×2×1.5m</w:t>
            </w:r>
          </w:p>
        </w:tc>
        <w:tc>
          <w:tcPr>
            <w:tcW w:w="708" w:type="dxa"/>
            <w:vAlign w:val="center"/>
          </w:tcPr>
          <w:p>
            <w:pPr>
              <w:spacing w:line="240" w:lineRule="auto"/>
              <w:jc w:val="center"/>
              <w:rPr>
                <w:rFonts w:cs="Times New Roman"/>
                <w:sz w:val="21"/>
                <w:szCs w:val="21"/>
              </w:rPr>
            </w:pPr>
            <w:r>
              <w:rPr>
                <w:rFonts w:hint="eastAsia" w:cs="Times New Roman"/>
                <w:sz w:val="21"/>
                <w:szCs w:val="21"/>
              </w:rPr>
              <w:t>座</w:t>
            </w:r>
          </w:p>
        </w:tc>
        <w:tc>
          <w:tcPr>
            <w:tcW w:w="851" w:type="dxa"/>
            <w:vAlign w:val="center"/>
          </w:tcPr>
          <w:p>
            <w:pPr>
              <w:spacing w:line="240" w:lineRule="auto"/>
              <w:jc w:val="center"/>
              <w:rPr>
                <w:rFonts w:cs="Times New Roman"/>
                <w:sz w:val="21"/>
                <w:szCs w:val="21"/>
              </w:rPr>
            </w:pPr>
            <w:r>
              <w:rPr>
                <w:rFonts w:hint="eastAsia" w:cs="Times New Roman"/>
                <w:sz w:val="21"/>
                <w:szCs w:val="21"/>
              </w:rPr>
              <w:t>2</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p>
        </w:tc>
        <w:tc>
          <w:tcPr>
            <w:tcW w:w="1701" w:type="dxa"/>
            <w:vAlign w:val="center"/>
          </w:tcPr>
          <w:p>
            <w:pPr>
              <w:spacing w:line="240" w:lineRule="auto"/>
              <w:jc w:val="center"/>
              <w:rPr>
                <w:rFonts w:cs="Times New Roman"/>
                <w:sz w:val="21"/>
                <w:szCs w:val="21"/>
              </w:rPr>
            </w:pPr>
            <w:r>
              <w:rPr>
                <w:rFonts w:hint="eastAsia" w:cs="Times New Roman"/>
                <w:sz w:val="21"/>
                <w:szCs w:val="21"/>
              </w:rPr>
              <w:t>集水井</w:t>
            </w:r>
          </w:p>
        </w:tc>
        <w:tc>
          <w:tcPr>
            <w:tcW w:w="4111" w:type="dxa"/>
            <w:vAlign w:val="center"/>
          </w:tcPr>
          <w:p>
            <w:pPr>
              <w:spacing w:line="240" w:lineRule="auto"/>
              <w:jc w:val="center"/>
              <w:rPr>
                <w:rFonts w:cs="Times New Roman"/>
                <w:sz w:val="21"/>
                <w:szCs w:val="21"/>
              </w:rPr>
            </w:pPr>
            <w:r>
              <w:rPr>
                <w:rFonts w:hint="eastAsia" w:cs="Times New Roman"/>
                <w:sz w:val="21"/>
                <w:szCs w:val="21"/>
              </w:rPr>
              <w:t>1×1×1m</w:t>
            </w:r>
          </w:p>
        </w:tc>
        <w:tc>
          <w:tcPr>
            <w:tcW w:w="708" w:type="dxa"/>
            <w:vAlign w:val="center"/>
          </w:tcPr>
          <w:p>
            <w:pPr>
              <w:spacing w:line="240" w:lineRule="auto"/>
              <w:jc w:val="center"/>
              <w:rPr>
                <w:rFonts w:cs="Times New Roman"/>
                <w:sz w:val="21"/>
                <w:szCs w:val="21"/>
              </w:rPr>
            </w:pPr>
            <w:r>
              <w:rPr>
                <w:rFonts w:hint="eastAsia" w:cs="Times New Roman"/>
                <w:sz w:val="21"/>
                <w:szCs w:val="21"/>
              </w:rPr>
              <w:t>座</w:t>
            </w:r>
          </w:p>
        </w:tc>
        <w:tc>
          <w:tcPr>
            <w:tcW w:w="851" w:type="dxa"/>
            <w:vAlign w:val="center"/>
          </w:tcPr>
          <w:p>
            <w:pPr>
              <w:spacing w:line="240" w:lineRule="auto"/>
              <w:jc w:val="center"/>
              <w:rPr>
                <w:rFonts w:cs="Times New Roman"/>
                <w:sz w:val="21"/>
                <w:szCs w:val="21"/>
              </w:rPr>
            </w:pPr>
            <w:r>
              <w:rPr>
                <w:rFonts w:hint="eastAsia" w:cs="Times New Roman"/>
                <w:sz w:val="21"/>
                <w:szCs w:val="21"/>
              </w:rPr>
              <w:t>6</w:t>
            </w:r>
          </w:p>
        </w:tc>
        <w:tc>
          <w:tcPr>
            <w:tcW w:w="1134" w:type="dxa"/>
            <w:vAlign w:val="center"/>
          </w:tcPr>
          <w:p>
            <w:pPr>
              <w:spacing w:line="240" w:lineRule="auto"/>
              <w:jc w:val="center"/>
              <w:rPr>
                <w:rFonts w:cs="Times New Roman"/>
                <w:sz w:val="21"/>
                <w:szCs w:val="21"/>
              </w:rPr>
            </w:pPr>
            <w:r>
              <w:rPr>
                <w:rFonts w:cs="Times New Roman"/>
                <w:sz w:val="21"/>
                <w:szCs w:val="21"/>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7</w:t>
            </w:r>
          </w:p>
        </w:tc>
        <w:tc>
          <w:tcPr>
            <w:tcW w:w="1701" w:type="dxa"/>
            <w:vAlign w:val="center"/>
          </w:tcPr>
          <w:p>
            <w:pPr>
              <w:spacing w:line="240" w:lineRule="auto"/>
              <w:jc w:val="center"/>
              <w:rPr>
                <w:rFonts w:cs="Times New Roman"/>
                <w:sz w:val="21"/>
                <w:szCs w:val="21"/>
              </w:rPr>
            </w:pPr>
            <w:r>
              <w:rPr>
                <w:rFonts w:cs="Times New Roman"/>
                <w:sz w:val="21"/>
                <w:szCs w:val="21"/>
              </w:rPr>
              <w:t>洗车池</w:t>
            </w:r>
          </w:p>
        </w:tc>
        <w:tc>
          <w:tcPr>
            <w:tcW w:w="4111" w:type="dxa"/>
            <w:vAlign w:val="center"/>
          </w:tcPr>
          <w:p>
            <w:pPr>
              <w:spacing w:line="240" w:lineRule="auto"/>
              <w:jc w:val="center"/>
              <w:rPr>
                <w:rFonts w:cs="Times New Roman"/>
                <w:sz w:val="21"/>
                <w:szCs w:val="21"/>
              </w:rPr>
            </w:pPr>
            <w:r>
              <w:rPr>
                <w:rFonts w:hint="eastAsia" w:cs="Times New Roman"/>
                <w:sz w:val="21"/>
                <w:szCs w:val="21"/>
              </w:rPr>
              <w:t>/</w:t>
            </w:r>
          </w:p>
        </w:tc>
        <w:tc>
          <w:tcPr>
            <w:tcW w:w="708" w:type="dxa"/>
            <w:vAlign w:val="center"/>
          </w:tcPr>
          <w:p>
            <w:pPr>
              <w:spacing w:line="240" w:lineRule="auto"/>
              <w:jc w:val="center"/>
              <w:rPr>
                <w:rFonts w:cs="Times New Roman"/>
                <w:sz w:val="21"/>
                <w:szCs w:val="21"/>
              </w:rPr>
            </w:pPr>
            <w:r>
              <w:rPr>
                <w:rFonts w:cs="Times New Roman"/>
                <w:sz w:val="21"/>
                <w:szCs w:val="21"/>
              </w:rPr>
              <w:t>座</w:t>
            </w:r>
          </w:p>
        </w:tc>
        <w:tc>
          <w:tcPr>
            <w:tcW w:w="851" w:type="dxa"/>
            <w:vAlign w:val="center"/>
          </w:tcPr>
          <w:p>
            <w:pPr>
              <w:spacing w:line="240" w:lineRule="auto"/>
              <w:jc w:val="center"/>
              <w:rPr>
                <w:rFonts w:cs="Times New Roman"/>
                <w:sz w:val="21"/>
                <w:szCs w:val="21"/>
              </w:rPr>
            </w:pPr>
            <w:r>
              <w:rPr>
                <w:rFonts w:hint="eastAsia" w:cs="Times New Roman"/>
                <w:sz w:val="21"/>
                <w:szCs w:val="21"/>
              </w:rPr>
              <w:t>1</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8</w:t>
            </w:r>
          </w:p>
        </w:tc>
        <w:tc>
          <w:tcPr>
            <w:tcW w:w="1701" w:type="dxa"/>
            <w:vAlign w:val="center"/>
          </w:tcPr>
          <w:p>
            <w:pPr>
              <w:spacing w:line="240" w:lineRule="auto"/>
              <w:jc w:val="center"/>
              <w:rPr>
                <w:rFonts w:cs="Times New Roman"/>
                <w:sz w:val="21"/>
                <w:szCs w:val="21"/>
              </w:rPr>
            </w:pPr>
            <w:r>
              <w:rPr>
                <w:rFonts w:hint="eastAsia" w:cs="Times New Roman"/>
                <w:sz w:val="21"/>
                <w:szCs w:val="21"/>
              </w:rPr>
              <w:t>土袋拦挡</w:t>
            </w:r>
          </w:p>
        </w:tc>
        <w:tc>
          <w:tcPr>
            <w:tcW w:w="4111" w:type="dxa"/>
            <w:vAlign w:val="center"/>
          </w:tcPr>
          <w:p>
            <w:pPr>
              <w:spacing w:line="240" w:lineRule="auto"/>
              <w:jc w:val="center"/>
              <w:rPr>
                <w:rFonts w:cs="Times New Roman"/>
                <w:sz w:val="21"/>
                <w:szCs w:val="21"/>
              </w:rPr>
            </w:pPr>
            <w:r>
              <w:rPr>
                <w:rFonts w:cs="Times New Roman"/>
                <w:sz w:val="21"/>
                <w:szCs w:val="21"/>
              </w:rPr>
              <w:t>高</w:t>
            </w:r>
            <w:r>
              <w:rPr>
                <w:rFonts w:hint="eastAsia" w:cs="Times New Roman"/>
                <w:sz w:val="21"/>
                <w:szCs w:val="21"/>
              </w:rPr>
              <w:t>0.6m，上宽0.2m，下宽0.6m</w:t>
            </w:r>
          </w:p>
        </w:tc>
        <w:tc>
          <w:tcPr>
            <w:tcW w:w="708" w:type="dxa"/>
            <w:vAlign w:val="center"/>
          </w:tcPr>
          <w:p>
            <w:pPr>
              <w:spacing w:line="240" w:lineRule="auto"/>
              <w:jc w:val="center"/>
              <w:rPr>
                <w:rFonts w:cs="Times New Roman"/>
                <w:sz w:val="21"/>
                <w:szCs w:val="21"/>
              </w:rPr>
            </w:pPr>
            <w:r>
              <w:rPr>
                <w:rFonts w:hint="eastAsia" w:cs="Times New Roman"/>
                <w:sz w:val="21"/>
                <w:szCs w:val="21"/>
              </w:rPr>
              <w:t>m</w:t>
            </w:r>
          </w:p>
        </w:tc>
        <w:tc>
          <w:tcPr>
            <w:tcW w:w="851" w:type="dxa"/>
            <w:vAlign w:val="center"/>
          </w:tcPr>
          <w:p>
            <w:pPr>
              <w:spacing w:line="240" w:lineRule="auto"/>
              <w:jc w:val="center"/>
              <w:rPr>
                <w:rFonts w:cs="Times New Roman"/>
                <w:sz w:val="21"/>
                <w:szCs w:val="21"/>
              </w:rPr>
            </w:pPr>
            <w:r>
              <w:rPr>
                <w:rFonts w:hint="eastAsia" w:cs="Times New Roman"/>
                <w:sz w:val="21"/>
                <w:szCs w:val="21"/>
              </w:rPr>
              <w:t>278</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9</w:t>
            </w:r>
          </w:p>
        </w:tc>
        <w:tc>
          <w:tcPr>
            <w:tcW w:w="1701" w:type="dxa"/>
            <w:vAlign w:val="center"/>
          </w:tcPr>
          <w:p>
            <w:pPr>
              <w:spacing w:line="240" w:lineRule="auto"/>
              <w:jc w:val="center"/>
              <w:rPr>
                <w:rFonts w:cs="Times New Roman"/>
                <w:sz w:val="21"/>
                <w:szCs w:val="21"/>
              </w:rPr>
            </w:pPr>
            <w:r>
              <w:rPr>
                <w:rFonts w:hint="eastAsia" w:cs="Times New Roman"/>
                <w:sz w:val="21"/>
                <w:szCs w:val="21"/>
              </w:rPr>
              <w:t>临时覆盖</w:t>
            </w:r>
          </w:p>
        </w:tc>
        <w:tc>
          <w:tcPr>
            <w:tcW w:w="4111" w:type="dxa"/>
            <w:vAlign w:val="center"/>
          </w:tcPr>
          <w:p>
            <w:pPr>
              <w:spacing w:line="240" w:lineRule="auto"/>
              <w:jc w:val="center"/>
              <w:rPr>
                <w:rFonts w:cs="Times New Roman"/>
                <w:sz w:val="21"/>
                <w:szCs w:val="21"/>
              </w:rPr>
            </w:pPr>
            <w:r>
              <w:rPr>
                <w:rFonts w:cs="Times New Roman"/>
                <w:sz w:val="21"/>
                <w:szCs w:val="21"/>
              </w:rPr>
              <w:t>土工布</w:t>
            </w:r>
          </w:p>
        </w:tc>
        <w:tc>
          <w:tcPr>
            <w:tcW w:w="708" w:type="dxa"/>
            <w:vAlign w:val="center"/>
          </w:tcPr>
          <w:p>
            <w:pPr>
              <w:spacing w:line="240" w:lineRule="auto"/>
              <w:jc w:val="center"/>
              <w:rPr>
                <w:rFonts w:cs="Times New Roman"/>
                <w:sz w:val="21"/>
                <w:szCs w:val="21"/>
              </w:rPr>
            </w:pPr>
            <w:r>
              <w:rPr>
                <w:rFonts w:hint="eastAsia" w:cs="Times New Roman"/>
                <w:sz w:val="21"/>
                <w:szCs w:val="21"/>
              </w:rPr>
              <w:t>m</w:t>
            </w:r>
            <w:r>
              <w:rPr>
                <w:rFonts w:hint="eastAsia" w:cs="Times New Roman"/>
                <w:sz w:val="21"/>
                <w:szCs w:val="21"/>
                <w:vertAlign w:val="superscript"/>
              </w:rPr>
              <w:t>2</w:t>
            </w:r>
          </w:p>
        </w:tc>
        <w:tc>
          <w:tcPr>
            <w:tcW w:w="851" w:type="dxa"/>
            <w:vAlign w:val="center"/>
          </w:tcPr>
          <w:p>
            <w:pPr>
              <w:spacing w:line="240" w:lineRule="auto"/>
              <w:jc w:val="center"/>
              <w:rPr>
                <w:rFonts w:cs="Times New Roman"/>
                <w:sz w:val="21"/>
                <w:szCs w:val="21"/>
              </w:rPr>
            </w:pPr>
            <w:r>
              <w:rPr>
                <w:rFonts w:hint="eastAsia" w:cs="Times New Roman"/>
                <w:sz w:val="21"/>
                <w:szCs w:val="21"/>
              </w:rPr>
              <w:t>6000</w:t>
            </w:r>
          </w:p>
        </w:tc>
        <w:tc>
          <w:tcPr>
            <w:tcW w:w="1134" w:type="dxa"/>
            <w:vAlign w:val="center"/>
          </w:tcPr>
          <w:p>
            <w:pPr>
              <w:spacing w:line="240" w:lineRule="auto"/>
              <w:jc w:val="center"/>
              <w:rPr>
                <w:rFonts w:cs="Times New Roman"/>
                <w:sz w:val="21"/>
                <w:szCs w:val="21"/>
              </w:rPr>
            </w:pPr>
            <w:r>
              <w:rPr>
                <w:rFonts w:cs="Times New Roman"/>
                <w:sz w:val="21"/>
                <w:szCs w:val="21"/>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spacing w:line="240" w:lineRule="auto"/>
              <w:jc w:val="center"/>
              <w:rPr>
                <w:rFonts w:cs="Times New Roman"/>
                <w:sz w:val="21"/>
                <w:szCs w:val="21"/>
              </w:rPr>
            </w:pPr>
            <w:r>
              <w:rPr>
                <w:rFonts w:hint="eastAsia" w:cs="Times New Roman"/>
                <w:sz w:val="21"/>
                <w:szCs w:val="21"/>
              </w:rPr>
              <w:t>10</w:t>
            </w:r>
          </w:p>
        </w:tc>
        <w:tc>
          <w:tcPr>
            <w:tcW w:w="1701" w:type="dxa"/>
            <w:vAlign w:val="center"/>
          </w:tcPr>
          <w:p>
            <w:pPr>
              <w:spacing w:line="240" w:lineRule="auto"/>
              <w:jc w:val="center"/>
              <w:rPr>
                <w:rFonts w:cs="Times New Roman"/>
                <w:sz w:val="21"/>
                <w:szCs w:val="21"/>
              </w:rPr>
            </w:pPr>
            <w:r>
              <w:rPr>
                <w:rFonts w:hint="eastAsia" w:cs="Times New Roman"/>
                <w:sz w:val="21"/>
                <w:szCs w:val="21"/>
              </w:rPr>
              <w:t>景观绿化</w:t>
            </w:r>
          </w:p>
        </w:tc>
        <w:tc>
          <w:tcPr>
            <w:tcW w:w="4111" w:type="dxa"/>
            <w:vAlign w:val="center"/>
          </w:tcPr>
          <w:p>
            <w:pPr>
              <w:spacing w:line="240" w:lineRule="auto"/>
              <w:jc w:val="center"/>
              <w:rPr>
                <w:rFonts w:cs="Times New Roman"/>
                <w:sz w:val="21"/>
                <w:szCs w:val="21"/>
              </w:rPr>
            </w:pPr>
            <w:r>
              <w:rPr>
                <w:rFonts w:hint="eastAsia" w:cs="Times New Roman"/>
                <w:sz w:val="21"/>
                <w:szCs w:val="21"/>
              </w:rPr>
              <w:t>/</w:t>
            </w:r>
          </w:p>
        </w:tc>
        <w:tc>
          <w:tcPr>
            <w:tcW w:w="708" w:type="dxa"/>
            <w:vAlign w:val="center"/>
          </w:tcPr>
          <w:p>
            <w:pPr>
              <w:spacing w:line="240" w:lineRule="auto"/>
              <w:jc w:val="center"/>
              <w:rPr>
                <w:rFonts w:cs="Times New Roman"/>
                <w:sz w:val="21"/>
                <w:szCs w:val="21"/>
              </w:rPr>
            </w:pPr>
            <w:r>
              <w:rPr>
                <w:rFonts w:hint="eastAsia" w:cs="Times New Roman"/>
                <w:sz w:val="21"/>
                <w:szCs w:val="21"/>
              </w:rPr>
              <w:t>m</w:t>
            </w:r>
            <w:r>
              <w:rPr>
                <w:rFonts w:hint="eastAsia" w:cs="Times New Roman"/>
                <w:sz w:val="21"/>
                <w:szCs w:val="21"/>
                <w:vertAlign w:val="superscript"/>
              </w:rPr>
              <w:t>2</w:t>
            </w:r>
          </w:p>
        </w:tc>
        <w:tc>
          <w:tcPr>
            <w:tcW w:w="851" w:type="dxa"/>
            <w:vAlign w:val="center"/>
          </w:tcPr>
          <w:p>
            <w:pPr>
              <w:spacing w:line="240" w:lineRule="auto"/>
              <w:jc w:val="center"/>
              <w:rPr>
                <w:rFonts w:cs="Times New Roman"/>
                <w:sz w:val="21"/>
                <w:szCs w:val="21"/>
              </w:rPr>
            </w:pPr>
            <w:r>
              <w:rPr>
                <w:rFonts w:hint="eastAsia" w:cs="Times New Roman"/>
                <w:sz w:val="21"/>
                <w:szCs w:val="21"/>
              </w:rPr>
              <w:t>1180</w:t>
            </w:r>
          </w:p>
        </w:tc>
        <w:tc>
          <w:tcPr>
            <w:tcW w:w="1134" w:type="dxa"/>
            <w:vAlign w:val="center"/>
          </w:tcPr>
          <w:p>
            <w:pPr>
              <w:spacing w:line="240" w:lineRule="auto"/>
              <w:jc w:val="center"/>
              <w:rPr>
                <w:rFonts w:cs="Times New Roman"/>
                <w:sz w:val="21"/>
                <w:szCs w:val="21"/>
              </w:rPr>
            </w:pPr>
            <w:r>
              <w:rPr>
                <w:rFonts w:cs="Times New Roman"/>
                <w:sz w:val="21"/>
                <w:szCs w:val="21"/>
              </w:rPr>
              <w:t>主体已列</w:t>
            </w:r>
          </w:p>
        </w:tc>
      </w:tr>
    </w:tbl>
    <w:p>
      <w:pPr>
        <w:pStyle w:val="2"/>
      </w:pPr>
      <w:bookmarkStart w:id="14" w:name="_Toc44344033"/>
      <w:r>
        <w:rPr>
          <w:rFonts w:hint="eastAsia"/>
        </w:rPr>
        <w:t>4.水土保持设施建设情况</w:t>
      </w:r>
      <w:bookmarkEnd w:id="14"/>
    </w:p>
    <w:p>
      <w:pPr>
        <w:pStyle w:val="3"/>
      </w:pPr>
      <w:bookmarkStart w:id="15" w:name="_Toc44344034"/>
      <w:r>
        <w:rPr>
          <w:rFonts w:hint="eastAsia"/>
        </w:rPr>
        <w:t>4.1水土流失防治范围</w:t>
      </w:r>
      <w:bookmarkEnd w:id="15"/>
    </w:p>
    <w:p>
      <w:pPr>
        <w:ind w:firstLine="482" w:firstLineChars="200"/>
        <w:rPr>
          <w:rFonts w:cs="Times New Roman"/>
          <w:b/>
        </w:rPr>
      </w:pPr>
      <w:r>
        <w:rPr>
          <w:rFonts w:hint="eastAsia" w:cs="Times New Roman"/>
          <w:b/>
        </w:rPr>
        <w:t>（1）方案确定水土流失防治责任范围</w:t>
      </w:r>
    </w:p>
    <w:p>
      <w:pPr>
        <w:ind w:firstLine="480" w:firstLineChars="200"/>
        <w:rPr>
          <w:rFonts w:cs="Times New Roman"/>
        </w:rPr>
      </w:pPr>
      <w:r>
        <w:rPr>
          <w:rFonts w:hint="eastAsia" w:cs="Times New Roman"/>
        </w:rPr>
        <w:t>根据《深圳机场公务机二期机库项目水土保持方案报告表》，本项目确定的水土流失防治责任范围面积为18645m</w:t>
      </w:r>
      <w:r>
        <w:rPr>
          <w:rFonts w:hint="eastAsia" w:cs="Times New Roman"/>
          <w:vertAlign w:val="superscript"/>
        </w:rPr>
        <w:t>2</w:t>
      </w:r>
      <w:r>
        <w:rPr>
          <w:rFonts w:hint="eastAsia" w:cs="Times New Roman"/>
        </w:rPr>
        <w:t>。</w:t>
      </w:r>
    </w:p>
    <w:p>
      <w:pPr>
        <w:ind w:firstLine="482" w:firstLineChars="200"/>
        <w:rPr>
          <w:rFonts w:cs="Times New Roman"/>
          <w:b/>
        </w:rPr>
      </w:pPr>
      <w:r>
        <w:rPr>
          <w:rFonts w:hint="eastAsia" w:cs="Times New Roman"/>
          <w:b/>
        </w:rPr>
        <w:t>（2）实际的水土流失防治责任范围</w:t>
      </w:r>
    </w:p>
    <w:p>
      <w:pPr>
        <w:ind w:firstLine="480" w:firstLineChars="200"/>
        <w:rPr>
          <w:rFonts w:cs="Times New Roman"/>
        </w:rPr>
      </w:pPr>
      <w:r>
        <w:rPr>
          <w:rFonts w:hint="eastAsia" w:cs="Times New Roman"/>
        </w:rPr>
        <w:t>经资料查阅及现场实测复核，本次验收建设期实际发生防治责任范围为18645m</w:t>
      </w:r>
      <w:r>
        <w:rPr>
          <w:rFonts w:hint="eastAsia" w:cs="Times New Roman"/>
          <w:vertAlign w:val="superscript"/>
        </w:rPr>
        <w:t>2</w:t>
      </w:r>
      <w:r>
        <w:rPr>
          <w:rFonts w:hint="eastAsia" w:cs="Times New Roman"/>
        </w:rPr>
        <w:t>。</w:t>
      </w:r>
    </w:p>
    <w:p>
      <w:pPr>
        <w:ind w:firstLine="482" w:firstLineChars="200"/>
        <w:rPr>
          <w:rFonts w:cs="Times New Roman"/>
          <w:b/>
        </w:rPr>
      </w:pPr>
      <w:r>
        <w:rPr>
          <w:rFonts w:hint="eastAsia" w:cs="Times New Roman"/>
          <w:b/>
        </w:rPr>
        <w:t>（3）方案确定的水土流失防治责任范围与实际的对比分析</w:t>
      </w:r>
    </w:p>
    <w:p>
      <w:pPr>
        <w:ind w:firstLine="480" w:firstLineChars="200"/>
        <w:rPr>
          <w:rFonts w:cs="Times New Roman"/>
        </w:rPr>
      </w:pPr>
      <w:r>
        <w:rPr>
          <w:rFonts w:cs="Times New Roman"/>
        </w:rPr>
        <w:t>本次项目为</w:t>
      </w:r>
      <w:r>
        <w:rPr>
          <w:rFonts w:hint="eastAsia" w:cs="Times New Roman"/>
        </w:rPr>
        <w:t>新建</w:t>
      </w:r>
      <w:r>
        <w:rPr>
          <w:rFonts w:cs="Times New Roman"/>
        </w:rPr>
        <w:t>项目</w:t>
      </w:r>
      <w:r>
        <w:rPr>
          <w:rFonts w:hint="eastAsia" w:cs="Times New Roman"/>
        </w:rPr>
        <w:t>，</w:t>
      </w:r>
      <w:r>
        <w:rPr>
          <w:rFonts w:cs="Times New Roman"/>
        </w:rPr>
        <w:t>建设范围均位于确认的水土流失防治责任范围内</w:t>
      </w:r>
      <w:r>
        <w:rPr>
          <w:rFonts w:hint="eastAsia" w:cs="Times New Roman"/>
        </w:rPr>
        <w:t>，</w:t>
      </w:r>
      <w:r>
        <w:rPr>
          <w:rFonts w:cs="Times New Roman"/>
        </w:rPr>
        <w:t>水土流失防治责任范围与实际对比一致</w:t>
      </w:r>
      <w:r>
        <w:rPr>
          <w:rFonts w:hint="eastAsia" w:cs="Times New Roman"/>
        </w:rPr>
        <w:t>，</w:t>
      </w:r>
      <w:r>
        <w:rPr>
          <w:rFonts w:cs="Times New Roman"/>
        </w:rPr>
        <w:t>未产生额外的临时用地</w:t>
      </w:r>
      <w:r>
        <w:rPr>
          <w:rFonts w:hint="eastAsia" w:cs="Times New Roman"/>
        </w:rPr>
        <w:t>。</w:t>
      </w:r>
    </w:p>
    <w:p>
      <w:pPr>
        <w:pStyle w:val="3"/>
      </w:pPr>
      <w:bookmarkStart w:id="16" w:name="_Toc44344035"/>
      <w:r>
        <w:rPr>
          <w:rFonts w:hint="eastAsia"/>
        </w:rPr>
        <w:t>4.2水土保持措施总体布局评估</w:t>
      </w:r>
      <w:bookmarkEnd w:id="16"/>
    </w:p>
    <w:p>
      <w:pPr>
        <w:ind w:firstLine="480" w:firstLineChars="200"/>
        <w:rPr>
          <w:rFonts w:cs="Times New Roman"/>
        </w:rPr>
      </w:pPr>
      <w:r>
        <w:rPr>
          <w:rFonts w:hint="eastAsia" w:cs="Times New Roman"/>
        </w:rPr>
        <w:t>根据各分区防治重点和特点，分别配置了工程措施、植物措施及临时措施。</w:t>
      </w:r>
    </w:p>
    <w:p>
      <w:pPr>
        <w:ind w:firstLine="480" w:firstLineChars="200"/>
        <w:rPr>
          <w:rFonts w:cs="Times New Roman"/>
        </w:rPr>
      </w:pPr>
      <w:r>
        <w:rPr>
          <w:rFonts w:hint="eastAsia" w:cs="Times New Roman"/>
        </w:rPr>
        <w:t>水土保持方案总体布局见图4-1，实际总体布局见表4-1。</w:t>
      </w:r>
    </w:p>
    <w:p>
      <w:pPr>
        <w:jc w:val="center"/>
      </w:pPr>
      <w:r>
        <w:drawing>
          <wp:inline distT="0" distB="0" distL="0" distR="0">
            <wp:extent cx="5274310" cy="2068830"/>
            <wp:effectExtent l="0" t="0" r="2540" b="7620"/>
            <wp:docPr id="14" name="图片 14" descr="C:\Users\admin\AppData\Local\Temp\1592810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159281020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068898"/>
                    </a:xfrm>
                    <a:prstGeom prst="rect">
                      <a:avLst/>
                    </a:prstGeom>
                    <a:noFill/>
                    <a:ln>
                      <a:noFill/>
                    </a:ln>
                  </pic:spPr>
                </pic:pic>
              </a:graphicData>
            </a:graphic>
          </wp:inline>
        </w:drawing>
      </w:r>
    </w:p>
    <w:p>
      <w:pPr>
        <w:jc w:val="center"/>
        <w:rPr>
          <w:rFonts w:hint="eastAsia"/>
          <w:b/>
        </w:rPr>
      </w:pPr>
      <w:r>
        <w:rPr>
          <w:b/>
        </w:rPr>
        <w:t>图</w:t>
      </w:r>
      <w:r>
        <w:rPr>
          <w:rFonts w:hint="eastAsia"/>
          <w:b/>
        </w:rPr>
        <w:t>4-1 方案水土保持措施总体布局图</w:t>
      </w:r>
    </w:p>
    <w:p>
      <w:pPr>
        <w:jc w:val="center"/>
        <w:rPr>
          <w:rFonts w:hint="eastAsia"/>
          <w:b/>
        </w:rPr>
      </w:pPr>
    </w:p>
    <w:p>
      <w:pPr>
        <w:jc w:val="center"/>
        <w:rPr>
          <w:rFonts w:hint="eastAsia"/>
          <w:b/>
        </w:rPr>
      </w:pPr>
    </w:p>
    <w:p>
      <w:pPr>
        <w:jc w:val="center"/>
        <w:rPr>
          <w:b/>
        </w:rPr>
      </w:pPr>
    </w:p>
    <w:p>
      <w:pPr>
        <w:jc w:val="center"/>
        <w:rPr>
          <w:b/>
        </w:rPr>
      </w:pPr>
      <w:r>
        <w:rPr>
          <w:rFonts w:hint="eastAsia"/>
          <w:b/>
        </w:rPr>
        <w:t>表4-1 方案及实际水土保持措施体系及总体布局对照表</w:t>
      </w:r>
    </w:p>
    <w:tbl>
      <w:tblPr>
        <w:tblStyle w:val="12"/>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16"/>
        <w:gridCol w:w="2510"/>
        <w:gridCol w:w="208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spacing w:line="240" w:lineRule="auto"/>
              <w:jc w:val="center"/>
              <w:rPr>
                <w:b/>
                <w:sz w:val="21"/>
                <w:szCs w:val="21"/>
              </w:rPr>
            </w:pPr>
            <w:r>
              <w:rPr>
                <w:b/>
                <w:sz w:val="21"/>
                <w:szCs w:val="21"/>
              </w:rPr>
              <w:t>时段</w:t>
            </w:r>
          </w:p>
        </w:tc>
        <w:tc>
          <w:tcPr>
            <w:tcW w:w="1216" w:type="dxa"/>
            <w:vAlign w:val="center"/>
          </w:tcPr>
          <w:p>
            <w:pPr>
              <w:spacing w:line="240" w:lineRule="auto"/>
              <w:jc w:val="center"/>
              <w:rPr>
                <w:b/>
                <w:sz w:val="21"/>
                <w:szCs w:val="21"/>
              </w:rPr>
            </w:pPr>
            <w:r>
              <w:rPr>
                <w:b/>
                <w:sz w:val="21"/>
                <w:szCs w:val="21"/>
              </w:rPr>
              <w:t>分区</w:t>
            </w:r>
          </w:p>
        </w:tc>
        <w:tc>
          <w:tcPr>
            <w:tcW w:w="2510" w:type="dxa"/>
            <w:vAlign w:val="center"/>
          </w:tcPr>
          <w:p>
            <w:pPr>
              <w:spacing w:line="240" w:lineRule="auto"/>
              <w:jc w:val="center"/>
              <w:rPr>
                <w:b/>
                <w:sz w:val="21"/>
                <w:szCs w:val="21"/>
              </w:rPr>
            </w:pPr>
            <w:r>
              <w:rPr>
                <w:b/>
                <w:sz w:val="21"/>
                <w:szCs w:val="21"/>
              </w:rPr>
              <w:t>水土保持方案</w:t>
            </w:r>
          </w:p>
        </w:tc>
        <w:tc>
          <w:tcPr>
            <w:tcW w:w="2086" w:type="dxa"/>
            <w:vAlign w:val="center"/>
          </w:tcPr>
          <w:p>
            <w:pPr>
              <w:spacing w:line="240" w:lineRule="auto"/>
              <w:jc w:val="center"/>
              <w:rPr>
                <w:b/>
                <w:sz w:val="21"/>
                <w:szCs w:val="21"/>
              </w:rPr>
            </w:pPr>
            <w:r>
              <w:rPr>
                <w:b/>
                <w:sz w:val="21"/>
                <w:szCs w:val="21"/>
              </w:rPr>
              <w:t>实际</w:t>
            </w:r>
          </w:p>
        </w:tc>
        <w:tc>
          <w:tcPr>
            <w:tcW w:w="2552" w:type="dxa"/>
          </w:tcPr>
          <w:p>
            <w:pPr>
              <w:spacing w:line="240" w:lineRule="auto"/>
              <w:jc w:val="center"/>
              <w:rPr>
                <w:b/>
                <w:sz w:val="21"/>
                <w:szCs w:val="21"/>
              </w:rPr>
            </w:pPr>
            <w:r>
              <w:rPr>
                <w:b/>
                <w:sz w:val="21"/>
                <w:szCs w:val="21"/>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trPr>
        <w:tc>
          <w:tcPr>
            <w:tcW w:w="1134" w:type="dxa"/>
            <w:vAlign w:val="center"/>
          </w:tcPr>
          <w:p>
            <w:pPr>
              <w:spacing w:line="240" w:lineRule="auto"/>
              <w:jc w:val="center"/>
              <w:rPr>
                <w:sz w:val="21"/>
                <w:szCs w:val="21"/>
              </w:rPr>
            </w:pPr>
            <w:r>
              <w:rPr>
                <w:sz w:val="21"/>
                <w:szCs w:val="21"/>
              </w:rPr>
              <w:t>场平施工期</w:t>
            </w:r>
          </w:p>
        </w:tc>
        <w:tc>
          <w:tcPr>
            <w:tcW w:w="1216" w:type="dxa"/>
            <w:vAlign w:val="center"/>
          </w:tcPr>
          <w:p>
            <w:pPr>
              <w:spacing w:line="240" w:lineRule="auto"/>
              <w:jc w:val="center"/>
              <w:rPr>
                <w:sz w:val="21"/>
                <w:szCs w:val="21"/>
              </w:rPr>
            </w:pPr>
            <w:r>
              <w:rPr>
                <w:sz w:val="21"/>
                <w:szCs w:val="21"/>
              </w:rPr>
              <w:t>场平施工区</w:t>
            </w:r>
          </w:p>
        </w:tc>
        <w:tc>
          <w:tcPr>
            <w:tcW w:w="2510" w:type="dxa"/>
            <w:vAlign w:val="center"/>
          </w:tcPr>
          <w:p>
            <w:pPr>
              <w:spacing w:line="240" w:lineRule="auto"/>
              <w:rPr>
                <w:sz w:val="21"/>
                <w:szCs w:val="21"/>
              </w:rPr>
            </w:pPr>
            <w:r>
              <w:rPr>
                <w:rFonts w:hint="eastAsia"/>
                <w:sz w:val="21"/>
                <w:szCs w:val="21"/>
              </w:rPr>
              <w:t>主体已列：施工围挡；</w:t>
            </w:r>
          </w:p>
          <w:p>
            <w:pPr>
              <w:spacing w:line="240" w:lineRule="auto"/>
              <w:rPr>
                <w:sz w:val="21"/>
                <w:szCs w:val="21"/>
              </w:rPr>
            </w:pPr>
            <w:r>
              <w:rPr>
                <w:sz w:val="21"/>
                <w:szCs w:val="21"/>
              </w:rPr>
              <w:t>方案新增</w:t>
            </w:r>
            <w:r>
              <w:rPr>
                <w:rFonts w:hint="eastAsia"/>
                <w:sz w:val="21"/>
                <w:szCs w:val="21"/>
              </w:rPr>
              <w:t>：</w:t>
            </w:r>
            <w:r>
              <w:rPr>
                <w:sz w:val="21"/>
                <w:szCs w:val="21"/>
              </w:rPr>
              <w:t>临时排水沟</w:t>
            </w:r>
            <w:r>
              <w:rPr>
                <w:rFonts w:hint="eastAsia"/>
                <w:sz w:val="21"/>
                <w:szCs w:val="21"/>
              </w:rPr>
              <w:t>、</w:t>
            </w:r>
            <w:r>
              <w:rPr>
                <w:sz w:val="21"/>
                <w:szCs w:val="21"/>
              </w:rPr>
              <w:t>单级沉砂池</w:t>
            </w:r>
            <w:r>
              <w:rPr>
                <w:rFonts w:hint="eastAsia"/>
                <w:sz w:val="21"/>
                <w:szCs w:val="21"/>
              </w:rPr>
              <w:t>、多</w:t>
            </w:r>
            <w:r>
              <w:rPr>
                <w:sz w:val="21"/>
                <w:szCs w:val="21"/>
              </w:rPr>
              <w:t>级沉砂池</w:t>
            </w:r>
            <w:r>
              <w:rPr>
                <w:rFonts w:hint="eastAsia"/>
                <w:sz w:val="21"/>
                <w:szCs w:val="21"/>
              </w:rPr>
              <w:t>、</w:t>
            </w:r>
            <w:r>
              <w:rPr>
                <w:sz w:val="21"/>
                <w:szCs w:val="21"/>
              </w:rPr>
              <w:t>洗车池</w:t>
            </w:r>
            <w:r>
              <w:rPr>
                <w:rFonts w:hint="eastAsia"/>
                <w:sz w:val="21"/>
                <w:szCs w:val="21"/>
              </w:rPr>
              <w:t>、</w:t>
            </w:r>
            <w:r>
              <w:rPr>
                <w:sz w:val="21"/>
                <w:szCs w:val="21"/>
              </w:rPr>
              <w:t>土袋拦挡</w:t>
            </w:r>
            <w:r>
              <w:rPr>
                <w:rFonts w:hint="eastAsia"/>
                <w:sz w:val="21"/>
                <w:szCs w:val="21"/>
              </w:rPr>
              <w:t>、</w:t>
            </w:r>
            <w:r>
              <w:rPr>
                <w:sz w:val="21"/>
                <w:szCs w:val="21"/>
              </w:rPr>
              <w:t>临时覆盖</w:t>
            </w:r>
            <w:r>
              <w:rPr>
                <w:rFonts w:hint="eastAsia"/>
                <w:sz w:val="21"/>
                <w:szCs w:val="21"/>
              </w:rPr>
              <w:t>、</w:t>
            </w:r>
            <w:r>
              <w:rPr>
                <w:sz w:val="21"/>
                <w:szCs w:val="21"/>
              </w:rPr>
              <w:t>施工围挡</w:t>
            </w:r>
          </w:p>
        </w:tc>
        <w:tc>
          <w:tcPr>
            <w:tcW w:w="2086" w:type="dxa"/>
            <w:vAlign w:val="center"/>
          </w:tcPr>
          <w:p>
            <w:pPr>
              <w:spacing w:line="240" w:lineRule="auto"/>
              <w:rPr>
                <w:sz w:val="21"/>
                <w:szCs w:val="21"/>
              </w:rPr>
            </w:pPr>
            <w:r>
              <w:rPr>
                <w:rFonts w:hint="eastAsia"/>
                <w:sz w:val="21"/>
                <w:szCs w:val="21"/>
              </w:rPr>
              <w:t>（1）施工围挡；</w:t>
            </w:r>
          </w:p>
          <w:p>
            <w:pPr>
              <w:spacing w:line="240" w:lineRule="auto"/>
              <w:rPr>
                <w:sz w:val="21"/>
                <w:szCs w:val="21"/>
              </w:rPr>
            </w:pPr>
            <w:r>
              <w:rPr>
                <w:rFonts w:hint="eastAsia"/>
                <w:sz w:val="21"/>
                <w:szCs w:val="21"/>
              </w:rPr>
              <w:t>（2）利用南侧现状排水沟；</w:t>
            </w:r>
          </w:p>
          <w:p>
            <w:pPr>
              <w:spacing w:line="240" w:lineRule="auto"/>
              <w:rPr>
                <w:sz w:val="21"/>
                <w:szCs w:val="21"/>
              </w:rPr>
            </w:pPr>
            <w:r>
              <w:rPr>
                <w:rFonts w:hint="eastAsia"/>
                <w:sz w:val="21"/>
                <w:szCs w:val="21"/>
              </w:rPr>
              <w:t>（3）优先建设永久排水沟；</w:t>
            </w:r>
          </w:p>
          <w:p>
            <w:pPr>
              <w:spacing w:line="240" w:lineRule="auto"/>
              <w:rPr>
                <w:sz w:val="21"/>
                <w:szCs w:val="21"/>
              </w:rPr>
            </w:pPr>
            <w:r>
              <w:rPr>
                <w:rFonts w:hint="eastAsia"/>
                <w:sz w:val="21"/>
                <w:szCs w:val="21"/>
              </w:rPr>
              <w:t>（4）利用临时景观绿化覆盖裸露地表</w:t>
            </w:r>
          </w:p>
        </w:tc>
        <w:tc>
          <w:tcPr>
            <w:tcW w:w="2552" w:type="dxa"/>
            <w:vMerge w:val="restart"/>
            <w:vAlign w:val="center"/>
          </w:tcPr>
          <w:p>
            <w:pPr>
              <w:spacing w:line="240" w:lineRule="auto"/>
              <w:rPr>
                <w:sz w:val="21"/>
                <w:szCs w:val="21"/>
              </w:rPr>
            </w:pPr>
            <w:r>
              <w:rPr>
                <w:sz w:val="21"/>
                <w:szCs w:val="21"/>
              </w:rPr>
              <w:t>场地北侧及南侧均存在现状排水沟</w:t>
            </w:r>
            <w:r>
              <w:rPr>
                <w:rFonts w:hint="eastAsia"/>
                <w:sz w:val="21"/>
                <w:szCs w:val="21"/>
              </w:rPr>
              <w:t>，</w:t>
            </w:r>
            <w:r>
              <w:rPr>
                <w:sz w:val="21"/>
                <w:szCs w:val="21"/>
              </w:rPr>
              <w:t>可充分利用</w:t>
            </w:r>
            <w:r>
              <w:rPr>
                <w:rFonts w:hint="eastAsia"/>
                <w:sz w:val="21"/>
                <w:szCs w:val="21"/>
              </w:rPr>
              <w:t>；</w:t>
            </w:r>
            <w:r>
              <w:rPr>
                <w:sz w:val="21"/>
                <w:szCs w:val="21"/>
              </w:rPr>
              <w:t>场地后期存在永久排水措施</w:t>
            </w:r>
            <w:r>
              <w:rPr>
                <w:rFonts w:hint="eastAsia"/>
                <w:sz w:val="21"/>
                <w:szCs w:val="21"/>
              </w:rPr>
              <w:t>，</w:t>
            </w:r>
            <w:r>
              <w:rPr>
                <w:sz w:val="21"/>
                <w:szCs w:val="21"/>
              </w:rPr>
              <w:t>因此施工单位优先建设永久排水沟</w:t>
            </w:r>
            <w:r>
              <w:rPr>
                <w:rFonts w:hint="eastAsia"/>
                <w:sz w:val="21"/>
                <w:szCs w:val="21"/>
              </w:rPr>
              <w:t>，既可以</w:t>
            </w:r>
            <w:r>
              <w:rPr>
                <w:sz w:val="21"/>
                <w:szCs w:val="21"/>
              </w:rPr>
              <w:t>减少施工工程量</w:t>
            </w:r>
            <w:r>
              <w:rPr>
                <w:rFonts w:hint="eastAsia"/>
                <w:sz w:val="21"/>
                <w:szCs w:val="21"/>
              </w:rPr>
              <w:t>，</w:t>
            </w:r>
            <w:r>
              <w:rPr>
                <w:sz w:val="21"/>
                <w:szCs w:val="21"/>
              </w:rPr>
              <w:t>又可以发挥最大的截排水作用</w:t>
            </w:r>
            <w:r>
              <w:rPr>
                <w:rFonts w:hint="eastAsia"/>
                <w:sz w:val="21"/>
                <w:szCs w:val="21"/>
              </w:rPr>
              <w:t>。由于机场工程特性，取消了永久景观绿化。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restart"/>
            <w:vAlign w:val="center"/>
          </w:tcPr>
          <w:p>
            <w:pPr>
              <w:spacing w:line="240" w:lineRule="auto"/>
              <w:jc w:val="center"/>
              <w:rPr>
                <w:sz w:val="21"/>
                <w:szCs w:val="21"/>
              </w:rPr>
            </w:pPr>
            <w:r>
              <w:rPr>
                <w:sz w:val="21"/>
                <w:szCs w:val="21"/>
              </w:rPr>
              <w:t>地上建筑施工期</w:t>
            </w:r>
          </w:p>
        </w:tc>
        <w:tc>
          <w:tcPr>
            <w:tcW w:w="1216" w:type="dxa"/>
            <w:vAlign w:val="center"/>
          </w:tcPr>
          <w:p>
            <w:pPr>
              <w:spacing w:line="240" w:lineRule="auto"/>
              <w:jc w:val="center"/>
              <w:rPr>
                <w:sz w:val="21"/>
                <w:szCs w:val="21"/>
              </w:rPr>
            </w:pPr>
            <w:r>
              <w:rPr>
                <w:sz w:val="21"/>
                <w:szCs w:val="21"/>
              </w:rPr>
              <w:t>建筑施工区</w:t>
            </w:r>
          </w:p>
        </w:tc>
        <w:tc>
          <w:tcPr>
            <w:tcW w:w="2510" w:type="dxa"/>
            <w:vAlign w:val="center"/>
          </w:tcPr>
          <w:p>
            <w:pPr>
              <w:spacing w:line="240" w:lineRule="auto"/>
              <w:rPr>
                <w:sz w:val="21"/>
                <w:szCs w:val="21"/>
              </w:rPr>
            </w:pPr>
            <w:r>
              <w:rPr>
                <w:sz w:val="21"/>
                <w:szCs w:val="21"/>
              </w:rPr>
              <w:t>方案新增</w:t>
            </w:r>
            <w:r>
              <w:rPr>
                <w:rFonts w:hint="eastAsia"/>
                <w:sz w:val="21"/>
                <w:szCs w:val="21"/>
              </w:rPr>
              <w:t>：</w:t>
            </w:r>
            <w:r>
              <w:rPr>
                <w:sz w:val="21"/>
                <w:szCs w:val="21"/>
              </w:rPr>
              <w:t>临时排水沟</w:t>
            </w:r>
            <w:r>
              <w:rPr>
                <w:rFonts w:hint="eastAsia"/>
                <w:sz w:val="21"/>
                <w:szCs w:val="21"/>
              </w:rPr>
              <w:t>、</w:t>
            </w:r>
            <w:r>
              <w:rPr>
                <w:sz w:val="21"/>
                <w:szCs w:val="21"/>
              </w:rPr>
              <w:t>沉砂池</w:t>
            </w:r>
          </w:p>
        </w:tc>
        <w:tc>
          <w:tcPr>
            <w:tcW w:w="2086" w:type="dxa"/>
            <w:vAlign w:val="center"/>
          </w:tcPr>
          <w:p>
            <w:pPr>
              <w:spacing w:line="240" w:lineRule="auto"/>
              <w:rPr>
                <w:sz w:val="21"/>
                <w:szCs w:val="21"/>
              </w:rPr>
            </w:pPr>
            <w:r>
              <w:rPr>
                <w:sz w:val="21"/>
                <w:szCs w:val="21"/>
              </w:rPr>
              <w:t>沿用场平工程临时围挡及排水措施</w:t>
            </w:r>
          </w:p>
        </w:tc>
        <w:tc>
          <w:tcPr>
            <w:tcW w:w="2552" w:type="dxa"/>
            <w:vMerge w:val="continue"/>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Merge w:val="continue"/>
            <w:vAlign w:val="center"/>
          </w:tcPr>
          <w:p>
            <w:pPr>
              <w:spacing w:line="240" w:lineRule="auto"/>
              <w:jc w:val="center"/>
              <w:rPr>
                <w:sz w:val="21"/>
                <w:szCs w:val="21"/>
              </w:rPr>
            </w:pPr>
          </w:p>
        </w:tc>
        <w:tc>
          <w:tcPr>
            <w:tcW w:w="1216" w:type="dxa"/>
            <w:vAlign w:val="center"/>
          </w:tcPr>
          <w:p>
            <w:pPr>
              <w:spacing w:line="240" w:lineRule="auto"/>
              <w:jc w:val="center"/>
              <w:rPr>
                <w:sz w:val="21"/>
                <w:szCs w:val="21"/>
              </w:rPr>
            </w:pPr>
            <w:r>
              <w:rPr>
                <w:sz w:val="21"/>
                <w:szCs w:val="21"/>
              </w:rPr>
              <w:t>道路及铺地施工区</w:t>
            </w:r>
          </w:p>
        </w:tc>
        <w:tc>
          <w:tcPr>
            <w:tcW w:w="2510" w:type="dxa"/>
            <w:vAlign w:val="center"/>
          </w:tcPr>
          <w:p>
            <w:pPr>
              <w:spacing w:line="240" w:lineRule="auto"/>
              <w:rPr>
                <w:sz w:val="21"/>
                <w:szCs w:val="21"/>
              </w:rPr>
            </w:pPr>
            <w:r>
              <w:rPr>
                <w:sz w:val="21"/>
                <w:szCs w:val="21"/>
              </w:rPr>
              <w:t>方案新增</w:t>
            </w:r>
            <w:r>
              <w:rPr>
                <w:rFonts w:hint="eastAsia"/>
                <w:sz w:val="21"/>
                <w:szCs w:val="21"/>
              </w:rPr>
              <w:t>：</w:t>
            </w:r>
            <w:r>
              <w:rPr>
                <w:sz w:val="21"/>
                <w:szCs w:val="21"/>
              </w:rPr>
              <w:t>临时覆盖</w:t>
            </w:r>
            <w:r>
              <w:rPr>
                <w:rFonts w:hint="eastAsia"/>
                <w:sz w:val="21"/>
                <w:szCs w:val="21"/>
              </w:rPr>
              <w:t>、</w:t>
            </w:r>
            <w:r>
              <w:rPr>
                <w:sz w:val="21"/>
                <w:szCs w:val="21"/>
              </w:rPr>
              <w:t>土袋拦挡</w:t>
            </w:r>
          </w:p>
        </w:tc>
        <w:tc>
          <w:tcPr>
            <w:tcW w:w="2086" w:type="dxa"/>
            <w:vAlign w:val="center"/>
          </w:tcPr>
          <w:p>
            <w:pPr>
              <w:spacing w:line="240" w:lineRule="auto"/>
              <w:rPr>
                <w:sz w:val="21"/>
                <w:szCs w:val="21"/>
              </w:rPr>
            </w:pPr>
            <w:r>
              <w:rPr>
                <w:sz w:val="21"/>
                <w:szCs w:val="21"/>
              </w:rPr>
              <w:t>沿用场平工程临时围挡及排水措施</w:t>
            </w:r>
          </w:p>
        </w:tc>
        <w:tc>
          <w:tcPr>
            <w:tcW w:w="2552" w:type="dxa"/>
            <w:vMerge w:val="continue"/>
            <w:vAlign w:val="center"/>
          </w:tcPr>
          <w:p>
            <w:pPr>
              <w:spacing w:line="240" w:lineRule="auto"/>
              <w:rPr>
                <w:sz w:val="21"/>
                <w:szCs w:val="21"/>
              </w:rPr>
            </w:pPr>
          </w:p>
        </w:tc>
      </w:tr>
    </w:tbl>
    <w:p>
      <w:pPr>
        <w:pStyle w:val="3"/>
      </w:pPr>
      <w:bookmarkStart w:id="17" w:name="_Toc44344036"/>
      <w:r>
        <w:rPr>
          <w:rFonts w:hint="eastAsia"/>
        </w:rPr>
        <w:t>4.3水土保持设施完成情况</w:t>
      </w:r>
      <w:bookmarkEnd w:id="17"/>
    </w:p>
    <w:p>
      <w:pPr>
        <w:ind w:firstLine="480" w:firstLineChars="200"/>
        <w:rPr>
          <w:rFonts w:cs="Times New Roman"/>
        </w:rPr>
      </w:pPr>
      <w:r>
        <w:rPr>
          <w:rFonts w:hint="eastAsia" w:cs="Times New Roman"/>
        </w:rPr>
        <w:t>水土保持措施完成工程量见表4-2。</w:t>
      </w:r>
    </w:p>
    <w:p>
      <w:pPr>
        <w:jc w:val="center"/>
        <w:rPr>
          <w:b/>
          <w:szCs w:val="24"/>
        </w:rPr>
      </w:pPr>
      <w:r>
        <w:rPr>
          <w:rFonts w:hint="eastAsia"/>
          <w:b/>
          <w:szCs w:val="24"/>
        </w:rPr>
        <w:t>表4-2水土保持措施完成工程量对照表</w:t>
      </w:r>
    </w:p>
    <w:tbl>
      <w:tblPr>
        <w:tblStyle w:val="12"/>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27"/>
        <w:gridCol w:w="2127"/>
        <w:gridCol w:w="850"/>
        <w:gridCol w:w="1276"/>
        <w:gridCol w:w="113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b/>
                <w:sz w:val="21"/>
                <w:szCs w:val="21"/>
              </w:rPr>
            </w:pPr>
            <w:r>
              <w:rPr>
                <w:b/>
                <w:sz w:val="21"/>
                <w:szCs w:val="21"/>
              </w:rPr>
              <w:t>序号</w:t>
            </w:r>
          </w:p>
        </w:tc>
        <w:tc>
          <w:tcPr>
            <w:tcW w:w="3654" w:type="dxa"/>
            <w:gridSpan w:val="2"/>
            <w:vAlign w:val="center"/>
          </w:tcPr>
          <w:p>
            <w:pPr>
              <w:spacing w:line="240" w:lineRule="auto"/>
              <w:jc w:val="center"/>
              <w:rPr>
                <w:b/>
                <w:sz w:val="21"/>
                <w:szCs w:val="21"/>
              </w:rPr>
            </w:pPr>
            <w:r>
              <w:rPr>
                <w:b/>
                <w:sz w:val="21"/>
                <w:szCs w:val="21"/>
              </w:rPr>
              <w:t>水土保持措施</w:t>
            </w:r>
          </w:p>
        </w:tc>
        <w:tc>
          <w:tcPr>
            <w:tcW w:w="850" w:type="dxa"/>
            <w:vAlign w:val="center"/>
          </w:tcPr>
          <w:p>
            <w:pPr>
              <w:spacing w:line="240" w:lineRule="auto"/>
              <w:jc w:val="center"/>
              <w:rPr>
                <w:b/>
                <w:sz w:val="21"/>
                <w:szCs w:val="21"/>
              </w:rPr>
            </w:pPr>
            <w:r>
              <w:rPr>
                <w:b/>
                <w:sz w:val="21"/>
                <w:szCs w:val="21"/>
              </w:rPr>
              <w:t>单位</w:t>
            </w:r>
          </w:p>
        </w:tc>
        <w:tc>
          <w:tcPr>
            <w:tcW w:w="1276" w:type="dxa"/>
            <w:vAlign w:val="center"/>
          </w:tcPr>
          <w:p>
            <w:pPr>
              <w:spacing w:line="240" w:lineRule="auto"/>
              <w:jc w:val="center"/>
              <w:rPr>
                <w:b/>
                <w:sz w:val="21"/>
                <w:szCs w:val="21"/>
              </w:rPr>
            </w:pPr>
            <w:r>
              <w:rPr>
                <w:b/>
                <w:sz w:val="21"/>
                <w:szCs w:val="21"/>
              </w:rPr>
              <w:t>方案设计</w:t>
            </w:r>
          </w:p>
        </w:tc>
        <w:tc>
          <w:tcPr>
            <w:tcW w:w="1134" w:type="dxa"/>
            <w:vAlign w:val="center"/>
          </w:tcPr>
          <w:p>
            <w:pPr>
              <w:spacing w:line="240" w:lineRule="auto"/>
              <w:jc w:val="center"/>
              <w:rPr>
                <w:b/>
                <w:sz w:val="21"/>
                <w:szCs w:val="21"/>
              </w:rPr>
            </w:pPr>
            <w:r>
              <w:rPr>
                <w:b/>
                <w:sz w:val="21"/>
                <w:szCs w:val="21"/>
              </w:rPr>
              <w:t>实际完成</w:t>
            </w:r>
          </w:p>
        </w:tc>
        <w:tc>
          <w:tcPr>
            <w:tcW w:w="1843" w:type="dxa"/>
            <w:vAlign w:val="center"/>
          </w:tcPr>
          <w:p>
            <w:pPr>
              <w:spacing w:line="240" w:lineRule="auto"/>
              <w:jc w:val="center"/>
              <w:rPr>
                <w:b/>
                <w:sz w:val="21"/>
                <w:szCs w:val="21"/>
              </w:rPr>
            </w:pPr>
            <w:r>
              <w:rPr>
                <w:rFonts w:hint="eastAsia"/>
                <w:b/>
                <w:sz w:val="21"/>
                <w:szCs w:val="21"/>
              </w:rPr>
              <w:t>设置时间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b/>
                <w:sz w:val="21"/>
                <w:szCs w:val="21"/>
              </w:rPr>
            </w:pPr>
            <w:r>
              <w:rPr>
                <w:rFonts w:hint="eastAsia"/>
                <w:b/>
                <w:sz w:val="21"/>
                <w:szCs w:val="21"/>
              </w:rPr>
              <w:t>Ⅰ</w:t>
            </w:r>
          </w:p>
        </w:tc>
        <w:tc>
          <w:tcPr>
            <w:tcW w:w="8757" w:type="dxa"/>
            <w:gridSpan w:val="6"/>
            <w:vAlign w:val="center"/>
          </w:tcPr>
          <w:p>
            <w:pPr>
              <w:spacing w:line="240" w:lineRule="auto"/>
              <w:jc w:val="center"/>
              <w:rPr>
                <w:sz w:val="21"/>
                <w:szCs w:val="21"/>
              </w:rPr>
            </w:pPr>
            <w:r>
              <w:rPr>
                <w:b/>
                <w:sz w:val="21"/>
                <w:szCs w:val="21"/>
              </w:rPr>
              <w:t>工程措施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1</w:t>
            </w:r>
          </w:p>
        </w:tc>
        <w:tc>
          <w:tcPr>
            <w:tcW w:w="1527" w:type="dxa"/>
            <w:vAlign w:val="center"/>
          </w:tcPr>
          <w:p>
            <w:pPr>
              <w:spacing w:line="240" w:lineRule="auto"/>
              <w:jc w:val="center"/>
              <w:rPr>
                <w:rFonts w:cs="Times New Roman"/>
                <w:sz w:val="21"/>
                <w:szCs w:val="21"/>
              </w:rPr>
            </w:pPr>
            <w:r>
              <w:rPr>
                <w:rFonts w:cs="Times New Roman"/>
                <w:sz w:val="21"/>
                <w:szCs w:val="21"/>
              </w:rPr>
              <w:t>排水沟</w:t>
            </w:r>
          </w:p>
        </w:tc>
        <w:tc>
          <w:tcPr>
            <w:tcW w:w="2127" w:type="dxa"/>
            <w:vAlign w:val="center"/>
          </w:tcPr>
          <w:p>
            <w:pPr>
              <w:spacing w:line="240" w:lineRule="auto"/>
              <w:jc w:val="center"/>
              <w:rPr>
                <w:sz w:val="21"/>
                <w:szCs w:val="21"/>
              </w:rPr>
            </w:pPr>
            <w:r>
              <w:rPr>
                <w:rFonts w:hint="eastAsia"/>
                <w:sz w:val="21"/>
                <w:szCs w:val="21"/>
              </w:rPr>
              <w:t>0.3*0.3m</w:t>
            </w:r>
          </w:p>
        </w:tc>
        <w:tc>
          <w:tcPr>
            <w:tcW w:w="850" w:type="dxa"/>
            <w:vAlign w:val="center"/>
          </w:tcPr>
          <w:p>
            <w:pPr>
              <w:spacing w:line="240" w:lineRule="auto"/>
              <w:jc w:val="center"/>
              <w:rPr>
                <w:sz w:val="21"/>
                <w:szCs w:val="21"/>
              </w:rPr>
            </w:pPr>
            <w:r>
              <w:rPr>
                <w:rFonts w:hint="eastAsia"/>
                <w:sz w:val="21"/>
                <w:szCs w:val="21"/>
              </w:rPr>
              <w:t>m</w:t>
            </w:r>
          </w:p>
        </w:tc>
        <w:tc>
          <w:tcPr>
            <w:tcW w:w="1276" w:type="dxa"/>
            <w:vAlign w:val="center"/>
          </w:tcPr>
          <w:p>
            <w:pPr>
              <w:spacing w:line="240" w:lineRule="auto"/>
              <w:jc w:val="center"/>
              <w:rPr>
                <w:sz w:val="21"/>
                <w:szCs w:val="21"/>
              </w:rPr>
            </w:pPr>
            <w:r>
              <w:rPr>
                <w:rFonts w:hint="eastAsia"/>
                <w:sz w:val="21"/>
                <w:szCs w:val="21"/>
              </w:rPr>
              <w:t>408</w:t>
            </w:r>
          </w:p>
        </w:tc>
        <w:tc>
          <w:tcPr>
            <w:tcW w:w="1134" w:type="dxa"/>
            <w:vAlign w:val="center"/>
          </w:tcPr>
          <w:p>
            <w:pPr>
              <w:spacing w:line="240" w:lineRule="auto"/>
              <w:jc w:val="center"/>
              <w:rPr>
                <w:sz w:val="21"/>
                <w:szCs w:val="21"/>
              </w:rPr>
            </w:pPr>
            <w:r>
              <w:rPr>
                <w:rFonts w:hint="eastAsia"/>
                <w:sz w:val="21"/>
                <w:szCs w:val="21"/>
              </w:rPr>
              <w:t>250</w:t>
            </w:r>
          </w:p>
        </w:tc>
        <w:tc>
          <w:tcPr>
            <w:tcW w:w="1843" w:type="dxa"/>
            <w:vMerge w:val="restart"/>
            <w:vAlign w:val="center"/>
          </w:tcPr>
          <w:p>
            <w:pPr>
              <w:spacing w:line="240" w:lineRule="auto"/>
              <w:jc w:val="center"/>
              <w:rPr>
                <w:sz w:val="21"/>
                <w:szCs w:val="21"/>
              </w:rPr>
            </w:pPr>
            <w:r>
              <w:rPr>
                <w:rFonts w:hint="eastAsia"/>
                <w:sz w:val="21"/>
                <w:szCs w:val="21"/>
              </w:rPr>
              <w:t>2019.6~2020.6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2</w:t>
            </w:r>
          </w:p>
        </w:tc>
        <w:tc>
          <w:tcPr>
            <w:tcW w:w="1527" w:type="dxa"/>
            <w:vAlign w:val="center"/>
          </w:tcPr>
          <w:p>
            <w:pPr>
              <w:spacing w:line="240" w:lineRule="auto"/>
              <w:jc w:val="center"/>
              <w:rPr>
                <w:rFonts w:cs="Times New Roman"/>
                <w:sz w:val="21"/>
                <w:szCs w:val="21"/>
              </w:rPr>
            </w:pPr>
            <w:r>
              <w:rPr>
                <w:rFonts w:cs="Times New Roman"/>
                <w:sz w:val="21"/>
                <w:szCs w:val="21"/>
              </w:rPr>
              <w:t>给排水管网</w:t>
            </w:r>
          </w:p>
        </w:tc>
        <w:tc>
          <w:tcPr>
            <w:tcW w:w="2127" w:type="dxa"/>
            <w:vAlign w:val="center"/>
          </w:tcPr>
          <w:p>
            <w:pPr>
              <w:spacing w:line="240" w:lineRule="auto"/>
              <w:jc w:val="center"/>
              <w:rPr>
                <w:sz w:val="21"/>
                <w:szCs w:val="21"/>
              </w:rPr>
            </w:pPr>
            <w:r>
              <w:rPr>
                <w:rFonts w:hint="eastAsia"/>
                <w:sz w:val="21"/>
                <w:szCs w:val="21"/>
              </w:rPr>
              <w:t>/</w:t>
            </w:r>
          </w:p>
        </w:tc>
        <w:tc>
          <w:tcPr>
            <w:tcW w:w="850" w:type="dxa"/>
            <w:vAlign w:val="center"/>
          </w:tcPr>
          <w:p>
            <w:pPr>
              <w:spacing w:line="240" w:lineRule="auto"/>
              <w:jc w:val="center"/>
              <w:rPr>
                <w:sz w:val="21"/>
                <w:szCs w:val="21"/>
              </w:rPr>
            </w:pPr>
            <w:r>
              <w:rPr>
                <w:sz w:val="21"/>
                <w:szCs w:val="21"/>
              </w:rPr>
              <w:t>套</w:t>
            </w:r>
          </w:p>
        </w:tc>
        <w:tc>
          <w:tcPr>
            <w:tcW w:w="1276" w:type="dxa"/>
            <w:vAlign w:val="center"/>
          </w:tcPr>
          <w:p>
            <w:pPr>
              <w:spacing w:line="240" w:lineRule="auto"/>
              <w:jc w:val="center"/>
              <w:rPr>
                <w:sz w:val="21"/>
                <w:szCs w:val="21"/>
              </w:rPr>
            </w:pPr>
            <w:r>
              <w:rPr>
                <w:rFonts w:hint="eastAsia"/>
                <w:sz w:val="21"/>
                <w:szCs w:val="21"/>
              </w:rPr>
              <w:t>/</w:t>
            </w:r>
          </w:p>
        </w:tc>
        <w:tc>
          <w:tcPr>
            <w:tcW w:w="1134" w:type="dxa"/>
            <w:vAlign w:val="center"/>
          </w:tcPr>
          <w:p>
            <w:pPr>
              <w:spacing w:line="240" w:lineRule="auto"/>
              <w:jc w:val="center"/>
              <w:rPr>
                <w:sz w:val="21"/>
                <w:szCs w:val="21"/>
              </w:rPr>
            </w:pPr>
            <w:r>
              <w:rPr>
                <w:rFonts w:hint="eastAsia"/>
                <w:sz w:val="21"/>
                <w:szCs w:val="21"/>
              </w:rPr>
              <w:t>1</w:t>
            </w:r>
          </w:p>
        </w:tc>
        <w:tc>
          <w:tcPr>
            <w:tcW w:w="1843" w:type="dxa"/>
            <w:vMerge w:val="continue"/>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b/>
                <w:sz w:val="21"/>
                <w:szCs w:val="21"/>
              </w:rPr>
            </w:pPr>
            <w:r>
              <w:rPr>
                <w:rFonts w:hint="eastAsia"/>
                <w:b/>
                <w:sz w:val="21"/>
                <w:szCs w:val="21"/>
              </w:rPr>
              <w:t>Ⅱ</w:t>
            </w:r>
          </w:p>
        </w:tc>
        <w:tc>
          <w:tcPr>
            <w:tcW w:w="8757" w:type="dxa"/>
            <w:gridSpan w:val="6"/>
            <w:vAlign w:val="center"/>
          </w:tcPr>
          <w:p>
            <w:pPr>
              <w:spacing w:line="240" w:lineRule="auto"/>
              <w:jc w:val="center"/>
              <w:rPr>
                <w:sz w:val="21"/>
                <w:szCs w:val="21"/>
              </w:rPr>
            </w:pPr>
            <w:r>
              <w:rPr>
                <w:b/>
                <w:sz w:val="21"/>
                <w:szCs w:val="21"/>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3</w:t>
            </w:r>
          </w:p>
        </w:tc>
        <w:tc>
          <w:tcPr>
            <w:tcW w:w="1527" w:type="dxa"/>
            <w:vAlign w:val="center"/>
          </w:tcPr>
          <w:p>
            <w:pPr>
              <w:spacing w:line="240" w:lineRule="auto"/>
              <w:jc w:val="center"/>
              <w:rPr>
                <w:sz w:val="21"/>
                <w:szCs w:val="21"/>
              </w:rPr>
            </w:pPr>
            <w:r>
              <w:rPr>
                <w:sz w:val="21"/>
                <w:szCs w:val="21"/>
              </w:rPr>
              <w:t>施工围挡</w:t>
            </w:r>
          </w:p>
        </w:tc>
        <w:tc>
          <w:tcPr>
            <w:tcW w:w="2127" w:type="dxa"/>
            <w:vAlign w:val="center"/>
          </w:tcPr>
          <w:p>
            <w:pPr>
              <w:spacing w:line="240" w:lineRule="auto"/>
              <w:jc w:val="center"/>
              <w:rPr>
                <w:sz w:val="21"/>
                <w:szCs w:val="21"/>
              </w:rPr>
            </w:pPr>
            <w:r>
              <w:rPr>
                <w:rFonts w:hint="eastAsia"/>
                <w:sz w:val="21"/>
                <w:szCs w:val="21"/>
              </w:rPr>
              <w:t>2米高，含立柱斜撑</w:t>
            </w:r>
          </w:p>
        </w:tc>
        <w:tc>
          <w:tcPr>
            <w:tcW w:w="850" w:type="dxa"/>
            <w:vAlign w:val="center"/>
          </w:tcPr>
          <w:p>
            <w:pPr>
              <w:spacing w:line="240" w:lineRule="auto"/>
              <w:jc w:val="center"/>
              <w:rPr>
                <w:sz w:val="21"/>
                <w:szCs w:val="21"/>
              </w:rPr>
            </w:pPr>
            <w:r>
              <w:rPr>
                <w:rFonts w:hint="eastAsia"/>
                <w:sz w:val="21"/>
                <w:szCs w:val="21"/>
              </w:rPr>
              <w:t>m</w:t>
            </w:r>
          </w:p>
        </w:tc>
        <w:tc>
          <w:tcPr>
            <w:tcW w:w="1276" w:type="dxa"/>
            <w:vAlign w:val="center"/>
          </w:tcPr>
          <w:p>
            <w:pPr>
              <w:spacing w:line="240" w:lineRule="auto"/>
              <w:jc w:val="center"/>
              <w:rPr>
                <w:sz w:val="21"/>
                <w:szCs w:val="21"/>
              </w:rPr>
            </w:pPr>
            <w:r>
              <w:rPr>
                <w:rFonts w:hint="eastAsia"/>
                <w:sz w:val="21"/>
                <w:szCs w:val="21"/>
              </w:rPr>
              <w:t>579</w:t>
            </w:r>
          </w:p>
        </w:tc>
        <w:tc>
          <w:tcPr>
            <w:tcW w:w="1134" w:type="dxa"/>
            <w:vAlign w:val="center"/>
          </w:tcPr>
          <w:p>
            <w:pPr>
              <w:spacing w:line="240" w:lineRule="auto"/>
              <w:jc w:val="center"/>
              <w:rPr>
                <w:sz w:val="21"/>
                <w:szCs w:val="21"/>
              </w:rPr>
            </w:pPr>
            <w:r>
              <w:rPr>
                <w:rFonts w:hint="eastAsia"/>
                <w:sz w:val="21"/>
                <w:szCs w:val="21"/>
              </w:rPr>
              <w:t>240</w:t>
            </w:r>
          </w:p>
        </w:tc>
        <w:tc>
          <w:tcPr>
            <w:tcW w:w="1843" w:type="dxa"/>
            <w:vMerge w:val="restart"/>
            <w:vAlign w:val="center"/>
          </w:tcPr>
          <w:p>
            <w:pPr>
              <w:spacing w:line="240" w:lineRule="auto"/>
              <w:jc w:val="center"/>
              <w:rPr>
                <w:sz w:val="21"/>
                <w:szCs w:val="21"/>
              </w:rPr>
            </w:pPr>
            <w:r>
              <w:rPr>
                <w:rFonts w:hint="eastAsia"/>
                <w:sz w:val="21"/>
                <w:szCs w:val="21"/>
              </w:rPr>
              <w:t>2019.6~2020.6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4</w:t>
            </w:r>
          </w:p>
        </w:tc>
        <w:tc>
          <w:tcPr>
            <w:tcW w:w="1527" w:type="dxa"/>
            <w:vAlign w:val="center"/>
          </w:tcPr>
          <w:p>
            <w:pPr>
              <w:spacing w:line="240" w:lineRule="auto"/>
              <w:jc w:val="center"/>
              <w:rPr>
                <w:sz w:val="21"/>
                <w:szCs w:val="21"/>
              </w:rPr>
            </w:pPr>
            <w:r>
              <w:rPr>
                <w:rFonts w:hint="eastAsia"/>
                <w:sz w:val="21"/>
                <w:szCs w:val="21"/>
              </w:rPr>
              <w:t>临时覆盖</w:t>
            </w:r>
          </w:p>
        </w:tc>
        <w:tc>
          <w:tcPr>
            <w:tcW w:w="2127" w:type="dxa"/>
            <w:vAlign w:val="center"/>
          </w:tcPr>
          <w:p>
            <w:pPr>
              <w:spacing w:line="240" w:lineRule="auto"/>
              <w:jc w:val="center"/>
              <w:rPr>
                <w:sz w:val="21"/>
                <w:szCs w:val="21"/>
              </w:rPr>
            </w:pPr>
            <w:r>
              <w:rPr>
                <w:sz w:val="21"/>
                <w:szCs w:val="21"/>
              </w:rPr>
              <w:t>土工布</w:t>
            </w:r>
          </w:p>
        </w:tc>
        <w:tc>
          <w:tcPr>
            <w:tcW w:w="850" w:type="dxa"/>
            <w:vAlign w:val="center"/>
          </w:tcPr>
          <w:p>
            <w:pPr>
              <w:spacing w:line="240" w:lineRule="auto"/>
              <w:jc w:val="center"/>
              <w:rPr>
                <w:sz w:val="21"/>
                <w:szCs w:val="21"/>
              </w:rPr>
            </w:pPr>
            <w:r>
              <w:rPr>
                <w:rFonts w:hint="eastAsia"/>
                <w:sz w:val="21"/>
                <w:szCs w:val="21"/>
              </w:rPr>
              <w:t>m</w:t>
            </w:r>
            <w:r>
              <w:rPr>
                <w:rFonts w:hint="eastAsia"/>
                <w:sz w:val="21"/>
                <w:szCs w:val="21"/>
                <w:vertAlign w:val="superscript"/>
              </w:rPr>
              <w:t>2</w:t>
            </w:r>
          </w:p>
        </w:tc>
        <w:tc>
          <w:tcPr>
            <w:tcW w:w="1276" w:type="dxa"/>
            <w:vAlign w:val="center"/>
          </w:tcPr>
          <w:p>
            <w:pPr>
              <w:spacing w:line="240" w:lineRule="auto"/>
              <w:jc w:val="center"/>
              <w:rPr>
                <w:sz w:val="21"/>
                <w:szCs w:val="21"/>
              </w:rPr>
            </w:pPr>
            <w:r>
              <w:rPr>
                <w:rFonts w:hint="eastAsia"/>
                <w:sz w:val="21"/>
                <w:szCs w:val="21"/>
              </w:rPr>
              <w:t>6000</w:t>
            </w:r>
          </w:p>
        </w:tc>
        <w:tc>
          <w:tcPr>
            <w:tcW w:w="1134" w:type="dxa"/>
            <w:vAlign w:val="center"/>
          </w:tcPr>
          <w:p>
            <w:pPr>
              <w:spacing w:line="240" w:lineRule="auto"/>
              <w:jc w:val="center"/>
              <w:rPr>
                <w:sz w:val="21"/>
                <w:szCs w:val="21"/>
              </w:rPr>
            </w:pPr>
            <w:r>
              <w:rPr>
                <w:rFonts w:hint="eastAsia"/>
                <w:sz w:val="21"/>
                <w:szCs w:val="21"/>
              </w:rPr>
              <w:t>5000</w:t>
            </w:r>
          </w:p>
        </w:tc>
        <w:tc>
          <w:tcPr>
            <w:tcW w:w="1843" w:type="dxa"/>
            <w:vMerge w:val="continue"/>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b/>
                <w:sz w:val="21"/>
                <w:szCs w:val="21"/>
              </w:rPr>
            </w:pPr>
            <w:r>
              <w:rPr>
                <w:rFonts w:hint="eastAsia"/>
                <w:b/>
                <w:sz w:val="21"/>
                <w:szCs w:val="21"/>
              </w:rPr>
              <w:t>III</w:t>
            </w:r>
          </w:p>
        </w:tc>
        <w:tc>
          <w:tcPr>
            <w:tcW w:w="8757" w:type="dxa"/>
            <w:gridSpan w:val="6"/>
            <w:vAlign w:val="center"/>
          </w:tcPr>
          <w:p>
            <w:pPr>
              <w:spacing w:line="240" w:lineRule="auto"/>
              <w:jc w:val="center"/>
              <w:rPr>
                <w:sz w:val="21"/>
                <w:szCs w:val="21"/>
              </w:rPr>
            </w:pPr>
            <w:r>
              <w:rPr>
                <w:b/>
                <w:sz w:val="21"/>
                <w:szCs w:val="21"/>
              </w:rPr>
              <w:t>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5</w:t>
            </w:r>
          </w:p>
        </w:tc>
        <w:tc>
          <w:tcPr>
            <w:tcW w:w="1527" w:type="dxa"/>
            <w:vAlign w:val="center"/>
          </w:tcPr>
          <w:p>
            <w:pPr>
              <w:spacing w:line="240" w:lineRule="auto"/>
              <w:jc w:val="center"/>
              <w:rPr>
                <w:sz w:val="21"/>
                <w:szCs w:val="21"/>
              </w:rPr>
            </w:pPr>
            <w:r>
              <w:rPr>
                <w:sz w:val="21"/>
                <w:szCs w:val="21"/>
              </w:rPr>
              <w:t>花池</w:t>
            </w:r>
          </w:p>
        </w:tc>
        <w:tc>
          <w:tcPr>
            <w:tcW w:w="2127" w:type="dxa"/>
            <w:vAlign w:val="center"/>
          </w:tcPr>
          <w:p>
            <w:pPr>
              <w:spacing w:line="240" w:lineRule="auto"/>
              <w:jc w:val="center"/>
              <w:rPr>
                <w:sz w:val="21"/>
                <w:szCs w:val="21"/>
              </w:rPr>
            </w:pPr>
            <w:r>
              <w:rPr>
                <w:sz w:val="21"/>
                <w:szCs w:val="21"/>
              </w:rPr>
              <w:t>临时</w:t>
            </w:r>
          </w:p>
        </w:tc>
        <w:tc>
          <w:tcPr>
            <w:tcW w:w="850" w:type="dxa"/>
            <w:vAlign w:val="center"/>
          </w:tcPr>
          <w:p>
            <w:pPr>
              <w:spacing w:line="240" w:lineRule="auto"/>
              <w:jc w:val="center"/>
              <w:rPr>
                <w:sz w:val="21"/>
                <w:szCs w:val="21"/>
              </w:rPr>
            </w:pPr>
            <w:r>
              <w:rPr>
                <w:sz w:val="21"/>
                <w:szCs w:val="21"/>
              </w:rPr>
              <w:t>座</w:t>
            </w:r>
          </w:p>
        </w:tc>
        <w:tc>
          <w:tcPr>
            <w:tcW w:w="1276" w:type="dxa"/>
            <w:vAlign w:val="center"/>
          </w:tcPr>
          <w:p>
            <w:pPr>
              <w:spacing w:line="240" w:lineRule="auto"/>
              <w:jc w:val="center"/>
              <w:rPr>
                <w:sz w:val="21"/>
                <w:szCs w:val="21"/>
              </w:rPr>
            </w:pPr>
            <w:r>
              <w:rPr>
                <w:rFonts w:hint="eastAsia"/>
                <w:sz w:val="21"/>
                <w:szCs w:val="21"/>
              </w:rPr>
              <w:t>/</w:t>
            </w:r>
          </w:p>
        </w:tc>
        <w:tc>
          <w:tcPr>
            <w:tcW w:w="1134" w:type="dxa"/>
            <w:vAlign w:val="center"/>
          </w:tcPr>
          <w:p>
            <w:pPr>
              <w:spacing w:line="240" w:lineRule="auto"/>
              <w:jc w:val="center"/>
              <w:rPr>
                <w:sz w:val="21"/>
                <w:szCs w:val="21"/>
              </w:rPr>
            </w:pPr>
            <w:r>
              <w:rPr>
                <w:rFonts w:hint="eastAsia"/>
                <w:sz w:val="21"/>
                <w:szCs w:val="21"/>
              </w:rPr>
              <w:t>2</w:t>
            </w:r>
          </w:p>
        </w:tc>
        <w:tc>
          <w:tcPr>
            <w:tcW w:w="1843" w:type="dxa"/>
            <w:vAlign w:val="center"/>
          </w:tcPr>
          <w:p>
            <w:pPr>
              <w:spacing w:line="240" w:lineRule="auto"/>
              <w:jc w:val="center"/>
              <w:rPr>
                <w:sz w:val="21"/>
                <w:szCs w:val="21"/>
              </w:rPr>
            </w:pPr>
            <w:r>
              <w:rPr>
                <w:rFonts w:hint="eastAsia"/>
                <w:sz w:val="21"/>
                <w:szCs w:val="21"/>
              </w:rPr>
              <w:t>2019.6~2020.6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6</w:t>
            </w:r>
          </w:p>
        </w:tc>
        <w:tc>
          <w:tcPr>
            <w:tcW w:w="1527" w:type="dxa"/>
            <w:vAlign w:val="center"/>
          </w:tcPr>
          <w:p>
            <w:pPr>
              <w:spacing w:line="240" w:lineRule="auto"/>
              <w:jc w:val="center"/>
              <w:rPr>
                <w:sz w:val="21"/>
                <w:szCs w:val="21"/>
              </w:rPr>
            </w:pPr>
            <w:r>
              <w:rPr>
                <w:sz w:val="21"/>
                <w:szCs w:val="21"/>
              </w:rPr>
              <w:t>景观绿化</w:t>
            </w:r>
          </w:p>
        </w:tc>
        <w:tc>
          <w:tcPr>
            <w:tcW w:w="2127" w:type="dxa"/>
            <w:vAlign w:val="center"/>
          </w:tcPr>
          <w:p>
            <w:pPr>
              <w:spacing w:line="240" w:lineRule="auto"/>
              <w:jc w:val="center"/>
              <w:rPr>
                <w:sz w:val="21"/>
                <w:szCs w:val="21"/>
              </w:rPr>
            </w:pPr>
            <w:r>
              <w:rPr>
                <w:sz w:val="21"/>
                <w:szCs w:val="21"/>
              </w:rPr>
              <w:t>临时</w:t>
            </w:r>
          </w:p>
        </w:tc>
        <w:tc>
          <w:tcPr>
            <w:tcW w:w="850" w:type="dxa"/>
            <w:vAlign w:val="center"/>
          </w:tcPr>
          <w:p>
            <w:pPr>
              <w:spacing w:line="240" w:lineRule="auto"/>
              <w:jc w:val="center"/>
              <w:rPr>
                <w:sz w:val="21"/>
                <w:szCs w:val="21"/>
              </w:rPr>
            </w:pPr>
            <w:r>
              <w:rPr>
                <w:rFonts w:hint="eastAsia"/>
                <w:sz w:val="21"/>
                <w:szCs w:val="21"/>
              </w:rPr>
              <w:t>m</w:t>
            </w:r>
            <w:r>
              <w:rPr>
                <w:rFonts w:hint="eastAsia"/>
                <w:sz w:val="21"/>
                <w:szCs w:val="21"/>
                <w:vertAlign w:val="superscript"/>
              </w:rPr>
              <w:t>2</w:t>
            </w:r>
          </w:p>
        </w:tc>
        <w:tc>
          <w:tcPr>
            <w:tcW w:w="1276" w:type="dxa"/>
            <w:vAlign w:val="center"/>
          </w:tcPr>
          <w:p>
            <w:pPr>
              <w:spacing w:line="240" w:lineRule="auto"/>
              <w:jc w:val="center"/>
              <w:rPr>
                <w:sz w:val="21"/>
                <w:szCs w:val="21"/>
              </w:rPr>
            </w:pPr>
            <w:r>
              <w:rPr>
                <w:rFonts w:hint="eastAsia"/>
                <w:sz w:val="21"/>
                <w:szCs w:val="21"/>
              </w:rPr>
              <w:t>/</w:t>
            </w:r>
          </w:p>
        </w:tc>
        <w:tc>
          <w:tcPr>
            <w:tcW w:w="1134" w:type="dxa"/>
            <w:vAlign w:val="center"/>
          </w:tcPr>
          <w:p>
            <w:pPr>
              <w:spacing w:line="240" w:lineRule="auto"/>
              <w:jc w:val="center"/>
              <w:rPr>
                <w:sz w:val="21"/>
                <w:szCs w:val="21"/>
              </w:rPr>
            </w:pPr>
            <w:r>
              <w:rPr>
                <w:rFonts w:hint="eastAsia"/>
                <w:sz w:val="21"/>
                <w:szCs w:val="21"/>
              </w:rPr>
              <w:t>500</w:t>
            </w:r>
          </w:p>
        </w:tc>
        <w:tc>
          <w:tcPr>
            <w:tcW w:w="1843" w:type="dxa"/>
            <w:vAlign w:val="center"/>
          </w:tcPr>
          <w:p>
            <w:pPr>
              <w:spacing w:line="240" w:lineRule="auto"/>
              <w:jc w:val="center"/>
              <w:rPr>
                <w:sz w:val="21"/>
                <w:szCs w:val="21"/>
              </w:rPr>
            </w:pPr>
            <w:r>
              <w:rPr>
                <w:rFonts w:hint="eastAsia"/>
                <w:sz w:val="21"/>
                <w:szCs w:val="21"/>
              </w:rPr>
              <w:t>2019.6~2020.6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1" w:type="dxa"/>
            <w:vAlign w:val="center"/>
          </w:tcPr>
          <w:p>
            <w:pPr>
              <w:spacing w:line="240" w:lineRule="auto"/>
              <w:jc w:val="center"/>
              <w:rPr>
                <w:sz w:val="21"/>
                <w:szCs w:val="21"/>
              </w:rPr>
            </w:pPr>
            <w:r>
              <w:rPr>
                <w:rFonts w:hint="eastAsia"/>
                <w:sz w:val="21"/>
                <w:szCs w:val="21"/>
              </w:rPr>
              <w:t>7</w:t>
            </w:r>
          </w:p>
        </w:tc>
        <w:tc>
          <w:tcPr>
            <w:tcW w:w="1527" w:type="dxa"/>
            <w:vAlign w:val="center"/>
          </w:tcPr>
          <w:p>
            <w:pPr>
              <w:spacing w:line="240" w:lineRule="auto"/>
              <w:jc w:val="center"/>
              <w:rPr>
                <w:sz w:val="21"/>
                <w:szCs w:val="21"/>
              </w:rPr>
            </w:pPr>
            <w:r>
              <w:rPr>
                <w:sz w:val="21"/>
                <w:szCs w:val="21"/>
              </w:rPr>
              <w:t>景观绿化</w:t>
            </w:r>
          </w:p>
        </w:tc>
        <w:tc>
          <w:tcPr>
            <w:tcW w:w="2127" w:type="dxa"/>
            <w:vAlign w:val="center"/>
          </w:tcPr>
          <w:p>
            <w:pPr>
              <w:spacing w:line="240" w:lineRule="auto"/>
              <w:jc w:val="center"/>
              <w:rPr>
                <w:sz w:val="21"/>
                <w:szCs w:val="21"/>
              </w:rPr>
            </w:pPr>
            <w:r>
              <w:rPr>
                <w:sz w:val="21"/>
                <w:szCs w:val="21"/>
              </w:rPr>
              <w:t>永久</w:t>
            </w:r>
          </w:p>
        </w:tc>
        <w:tc>
          <w:tcPr>
            <w:tcW w:w="850" w:type="dxa"/>
            <w:vAlign w:val="center"/>
          </w:tcPr>
          <w:p>
            <w:pPr>
              <w:spacing w:line="240" w:lineRule="auto"/>
              <w:jc w:val="center"/>
              <w:rPr>
                <w:sz w:val="21"/>
                <w:szCs w:val="21"/>
              </w:rPr>
            </w:pPr>
            <w:r>
              <w:rPr>
                <w:rFonts w:hint="eastAsia"/>
                <w:sz w:val="21"/>
                <w:szCs w:val="21"/>
              </w:rPr>
              <w:t>m</w:t>
            </w:r>
            <w:r>
              <w:rPr>
                <w:rFonts w:hint="eastAsia"/>
                <w:sz w:val="21"/>
                <w:szCs w:val="21"/>
                <w:vertAlign w:val="superscript"/>
              </w:rPr>
              <w:t>2</w:t>
            </w:r>
          </w:p>
        </w:tc>
        <w:tc>
          <w:tcPr>
            <w:tcW w:w="1276" w:type="dxa"/>
            <w:vAlign w:val="center"/>
          </w:tcPr>
          <w:p>
            <w:pPr>
              <w:spacing w:line="240" w:lineRule="auto"/>
              <w:jc w:val="center"/>
              <w:rPr>
                <w:sz w:val="21"/>
                <w:szCs w:val="21"/>
              </w:rPr>
            </w:pPr>
            <w:r>
              <w:rPr>
                <w:rFonts w:hint="eastAsia"/>
                <w:sz w:val="21"/>
                <w:szCs w:val="21"/>
              </w:rPr>
              <w:t>1180</w:t>
            </w:r>
          </w:p>
        </w:tc>
        <w:tc>
          <w:tcPr>
            <w:tcW w:w="1134" w:type="dxa"/>
            <w:vAlign w:val="center"/>
          </w:tcPr>
          <w:p>
            <w:pPr>
              <w:spacing w:line="240" w:lineRule="auto"/>
              <w:jc w:val="center"/>
              <w:rPr>
                <w:sz w:val="21"/>
                <w:szCs w:val="21"/>
              </w:rPr>
            </w:pPr>
            <w:r>
              <w:rPr>
                <w:rFonts w:hint="eastAsia"/>
                <w:sz w:val="21"/>
                <w:szCs w:val="21"/>
              </w:rPr>
              <w:t>0</w:t>
            </w:r>
          </w:p>
        </w:tc>
        <w:tc>
          <w:tcPr>
            <w:tcW w:w="1843" w:type="dxa"/>
            <w:vAlign w:val="center"/>
          </w:tcPr>
          <w:p>
            <w:pPr>
              <w:spacing w:line="240" w:lineRule="auto"/>
              <w:jc w:val="center"/>
              <w:rPr>
                <w:sz w:val="21"/>
                <w:szCs w:val="21"/>
              </w:rPr>
            </w:pPr>
            <w:r>
              <w:rPr>
                <w:rFonts w:hint="eastAsia"/>
                <w:sz w:val="21"/>
                <w:szCs w:val="21"/>
              </w:rPr>
              <w:t>/</w:t>
            </w:r>
          </w:p>
        </w:tc>
      </w:tr>
    </w:tbl>
    <w:p>
      <w:pPr>
        <w:ind w:firstLine="480" w:firstLineChars="200"/>
        <w:rPr>
          <w:rFonts w:cs="Times New Roman"/>
        </w:rPr>
      </w:pPr>
      <w:r>
        <w:rPr>
          <w:rFonts w:hint="eastAsia" w:cs="Times New Roman"/>
        </w:rPr>
        <w:t>经比较实际完成工程量，项目区水土保持措施及工程量有所变化，变化原因如下：</w:t>
      </w:r>
    </w:p>
    <w:p>
      <w:pPr>
        <w:ind w:firstLine="480" w:firstLineChars="200"/>
        <w:rPr>
          <w:rFonts w:cs="Times New Roman"/>
        </w:rPr>
      </w:pPr>
      <w:r>
        <w:rPr>
          <w:rFonts w:hint="eastAsia" w:cs="Times New Roman"/>
        </w:rPr>
        <w:t>（1）项目北侧及南侧存在现状排水沟，可直接利用，降低了排水沟的工程量；</w:t>
      </w:r>
    </w:p>
    <w:p>
      <w:pPr>
        <w:ind w:firstLine="480" w:firstLineChars="200"/>
        <w:rPr>
          <w:rFonts w:cs="Times New Roman"/>
        </w:rPr>
      </w:pPr>
      <w:r>
        <w:rPr>
          <w:rFonts w:hint="eastAsia" w:cs="Times New Roman"/>
        </w:rPr>
        <w:t>（2）由于本工程施工单位采用的临时覆盖措施（土工布）材料的质量较好，重复利用性高，且采取了部分临时的景观绿化，因此临时覆盖工程量相对于方案减少了；</w:t>
      </w:r>
    </w:p>
    <w:p>
      <w:pPr>
        <w:ind w:firstLine="480" w:firstLineChars="200"/>
        <w:rPr>
          <w:rFonts w:cs="Times New Roman"/>
        </w:rPr>
      </w:pPr>
      <w:r>
        <w:rPr>
          <w:rFonts w:hint="eastAsia" w:cs="Times New Roman"/>
        </w:rPr>
        <w:t>（3）由于本工程无空间设置临时堆土区，因此土方采用即挖即运的方式，因此造成临时拦挡工程量减少；</w:t>
      </w:r>
    </w:p>
    <w:p>
      <w:pPr>
        <w:ind w:firstLine="480" w:firstLineChars="200"/>
        <w:rPr>
          <w:rFonts w:cs="Times New Roman"/>
        </w:rPr>
      </w:pPr>
      <w:r>
        <w:rPr>
          <w:rFonts w:hint="eastAsia" w:cs="Times New Roman"/>
        </w:rPr>
        <w:t>（4）本项目性质为机库，硬化地面占大多数，且由于机场工程的特殊性质，不宜采取绿化措施。</w:t>
      </w:r>
    </w:p>
    <w:p>
      <w:pPr>
        <w:pStyle w:val="3"/>
      </w:pPr>
      <w:bookmarkStart w:id="18" w:name="_Toc44344037"/>
      <w:r>
        <w:rPr>
          <w:rFonts w:hint="eastAsia"/>
        </w:rPr>
        <w:t>4.4水土保持工程施工进度及安排</w:t>
      </w:r>
      <w:bookmarkEnd w:id="18"/>
    </w:p>
    <w:p>
      <w:pPr>
        <w:ind w:firstLine="480" w:firstLineChars="200"/>
        <w:rPr>
          <w:rFonts w:cs="Times New Roman"/>
        </w:rPr>
      </w:pPr>
      <w:r>
        <w:rPr>
          <w:rFonts w:hint="eastAsia" w:cs="Times New Roman"/>
        </w:rPr>
        <w:t>水土保持措施应与主体工程“三同时”，其中拦挡工程须先行，排水、沉沙措施可同时施工，植物措施可略微滞后与主体工程，但滞后不得超过1年。</w:t>
      </w:r>
    </w:p>
    <w:p>
      <w:pPr>
        <w:ind w:firstLine="480" w:firstLineChars="200"/>
        <w:rPr>
          <w:rFonts w:cs="Times New Roman"/>
        </w:rPr>
      </w:pPr>
      <w:r>
        <w:rPr>
          <w:rFonts w:hint="eastAsia" w:cs="Times New Roman"/>
        </w:rPr>
        <w:t>深圳机场公务机二期机库项目实际于2019年6月开工，2020年6月完工。结合主体工程进度，水土保持措施进度如下：</w:t>
      </w:r>
    </w:p>
    <w:p>
      <w:pPr>
        <w:ind w:firstLine="480" w:firstLineChars="200"/>
        <w:rPr>
          <w:rFonts w:cs="Times New Roman"/>
        </w:rPr>
      </w:pPr>
      <w:r>
        <w:rPr>
          <w:rFonts w:hint="eastAsia" w:cs="Times New Roman"/>
        </w:rPr>
        <w:t>工程措施：2019年6月至2020年6月；</w:t>
      </w:r>
    </w:p>
    <w:p>
      <w:pPr>
        <w:ind w:firstLine="480" w:firstLineChars="200"/>
        <w:rPr>
          <w:rFonts w:cs="Times New Roman"/>
        </w:rPr>
      </w:pPr>
      <w:r>
        <w:rPr>
          <w:rFonts w:hint="eastAsia" w:cs="Times New Roman"/>
        </w:rPr>
        <w:t>植物措施：2019年6月至2020年6月；</w:t>
      </w:r>
    </w:p>
    <w:p>
      <w:pPr>
        <w:ind w:firstLine="480" w:firstLineChars="200"/>
        <w:rPr>
          <w:rFonts w:cs="Times New Roman"/>
        </w:rPr>
      </w:pPr>
      <w:r>
        <w:rPr>
          <w:rFonts w:hint="eastAsia" w:cs="Times New Roman"/>
        </w:rPr>
        <w:t>临时措施：2019年6月至2020年6月。</w:t>
      </w:r>
    </w:p>
    <w:p>
      <w:pPr>
        <w:pStyle w:val="3"/>
      </w:pPr>
      <w:bookmarkStart w:id="19" w:name="_Toc44344038"/>
      <w:r>
        <w:rPr>
          <w:rFonts w:hint="eastAsia"/>
        </w:rPr>
        <w:t>4.5水土保持工程投资完成情况</w:t>
      </w:r>
      <w:bookmarkEnd w:id="19"/>
    </w:p>
    <w:p>
      <w:pPr>
        <w:ind w:firstLine="480" w:firstLineChars="200"/>
      </w:pPr>
      <w:r>
        <w:rPr>
          <w:rFonts w:hint="eastAsia" w:cs="Times New Roman"/>
        </w:rPr>
        <w:t>根据《深圳机场公务机二期机库项目水土保持设施自验报告》，本工程水土保持投资100.4万元，本次实际水土保持投资为85.53万元。实际投资差别大的原因主要是：（1）由于现状排水沟的存在，降低了临时排水沟的工程量；（2）由于机场工程性质而未采取景观绿化。</w:t>
      </w:r>
    </w:p>
    <w:p>
      <w:pPr>
        <w:ind w:firstLine="480" w:firstLineChars="200"/>
        <w:sectPr>
          <w:pgSz w:w="11906" w:h="16838"/>
          <w:pgMar w:top="1440" w:right="1800" w:bottom="1440" w:left="1800" w:header="851" w:footer="992" w:gutter="0"/>
          <w:cols w:space="425" w:num="1"/>
          <w:docGrid w:type="lines" w:linePitch="312" w:charSpace="0"/>
        </w:sectPr>
      </w:pPr>
    </w:p>
    <w:p>
      <w:pPr>
        <w:pStyle w:val="2"/>
      </w:pPr>
      <w:bookmarkStart w:id="20" w:name="_Toc44344039"/>
      <w:r>
        <w:rPr>
          <w:rFonts w:hint="eastAsia"/>
        </w:rPr>
        <w:t>5.水土保持工程质量</w:t>
      </w:r>
      <w:bookmarkEnd w:id="20"/>
    </w:p>
    <w:p>
      <w:pPr>
        <w:pStyle w:val="3"/>
      </w:pPr>
      <w:bookmarkStart w:id="21" w:name="_Toc44344040"/>
      <w:r>
        <w:rPr>
          <w:rFonts w:hint="eastAsia"/>
        </w:rPr>
        <w:t>5.1质量管理体系</w:t>
      </w:r>
      <w:bookmarkEnd w:id="21"/>
    </w:p>
    <w:p>
      <w:pPr>
        <w:ind w:firstLine="480" w:firstLineChars="200"/>
        <w:rPr>
          <w:rFonts w:cs="Times New Roman"/>
        </w:rPr>
      </w:pPr>
      <w:r>
        <w:rPr>
          <w:rFonts w:hint="eastAsia" w:cs="Times New Roman"/>
        </w:rPr>
        <w:t>深圳市机场（集团）有限公司作为本工程的建设单位，为了加强工程质量管理，提高工程施工质量，实现工程总体目标，建立和完善各项管理、质量管理制度。其中包括：《工程质量管理办法》、《工程质量事故报告制度》、《工程进度管理制度》、《招投标管理办法》、《监理检查制度》等多项有关水土保持工程质量管理的规章制度，明确质量控制目标，落实质量管理责任。根据工作实际，建设单位组织专家和设计单位技术人员到施工现场，及时解决施工及设计问题。抽派业务水平高、经验丰富的技术干部充实工程一线，做到快速反映、及时解决现场问题，充分发挥业主的职能作用。</w:t>
      </w:r>
    </w:p>
    <w:p>
      <w:pPr>
        <w:ind w:firstLine="480" w:firstLineChars="200"/>
        <w:rPr>
          <w:rFonts w:cs="Times New Roman"/>
        </w:rPr>
      </w:pPr>
      <w:r>
        <w:rPr>
          <w:rFonts w:hint="eastAsia" w:cs="Times New Roman"/>
        </w:rPr>
        <w:t>深圳市机场（集团）有限公司下设办公室、人事部、技术部、项目部、综合部、财务部。</w:t>
      </w:r>
    </w:p>
    <w:p>
      <w:pPr>
        <w:ind w:firstLine="480" w:firstLineChars="200"/>
        <w:rPr>
          <w:rFonts w:cs="Times New Roman"/>
        </w:rPr>
      </w:pPr>
      <w:r>
        <w:rPr>
          <w:rFonts w:hint="eastAsia" w:cs="Times New Roman"/>
        </w:rPr>
        <w:t>水土保持工程业务由工程项目部负责组织实施，其他部门协助管理。对本项目的主要建设内容规范管理，实行了项目法人责任制、招标投标制和工程监理制，并将水土保持工程的建设与管理亦纳入了主体工程的建设管理体系中，保证了本工程的水土保持工程全面顺利进行。</w:t>
      </w:r>
    </w:p>
    <w:p>
      <w:pPr>
        <w:ind w:firstLine="480" w:firstLineChars="200"/>
        <w:rPr>
          <w:rFonts w:cs="Times New Roman"/>
        </w:rPr>
      </w:pPr>
      <w:r>
        <w:rPr>
          <w:rFonts w:hint="eastAsia" w:cs="Times New Roman"/>
        </w:rPr>
        <w:t>监理单位做到“事前控制、过程跟踪、事后检查”，对工程项目实施全方位、全过程监理。承包单位建立了以项目经理为第一质量责任人的质量保证体系，对工程施工进行全面的质量管理。</w:t>
      </w:r>
    </w:p>
    <w:p>
      <w:pPr>
        <w:ind w:firstLine="480" w:firstLineChars="200"/>
        <w:rPr>
          <w:rFonts w:cs="Times New Roman"/>
        </w:rPr>
      </w:pPr>
      <w:r>
        <w:rPr>
          <w:rFonts w:hint="eastAsia" w:cs="Times New Roman"/>
        </w:rPr>
        <w:t>从本工程的各种质量管理制度、组织结构和落实情况可以看出，工程的质量管理体系是健全和完善的。</w:t>
      </w:r>
    </w:p>
    <w:p>
      <w:pPr>
        <w:pStyle w:val="3"/>
      </w:pPr>
      <w:bookmarkStart w:id="22" w:name="_Toc44344041"/>
      <w:r>
        <w:rPr>
          <w:rFonts w:hint="eastAsia"/>
        </w:rPr>
        <w:t>5.2 工程措施质量评价</w:t>
      </w:r>
      <w:bookmarkEnd w:id="22"/>
    </w:p>
    <w:p>
      <w:pPr>
        <w:ind w:firstLine="480" w:firstLineChars="200"/>
        <w:rPr>
          <w:rFonts w:cs="Times New Roman"/>
        </w:rPr>
      </w:pPr>
      <w:r>
        <w:rPr>
          <w:rFonts w:hint="eastAsia" w:cs="Times New Roman"/>
        </w:rPr>
        <w:t>建设单位在建设过程中重视水土保持工作，水土保持建设与主体工程建设同步进行，建立健全了一套完善质量保证体系。对进入工程实体的原材料、中间产品和成品进行抽样检查、试验，有效保证了工程质量。</w:t>
      </w:r>
    </w:p>
    <w:p>
      <w:pPr>
        <w:pStyle w:val="4"/>
      </w:pPr>
      <w:bookmarkStart w:id="23" w:name="_Toc44344042"/>
      <w:r>
        <w:rPr>
          <w:rFonts w:hint="eastAsia"/>
        </w:rPr>
        <w:t>5.2.1工程设施评定标准</w:t>
      </w:r>
      <w:bookmarkEnd w:id="23"/>
    </w:p>
    <w:p>
      <w:pPr>
        <w:ind w:firstLine="480" w:firstLineChars="200"/>
        <w:rPr>
          <w:rFonts w:cs="Times New Roman"/>
        </w:rPr>
      </w:pPr>
      <w:r>
        <w:rPr>
          <w:rFonts w:hint="eastAsia" w:cs="Times New Roman"/>
        </w:rPr>
        <w:t>对于本工程的质量评定，水土保持工程的项目划分依据《水土保持工程质量评定规程》（SL336-2006）规定的工程质量评定项目划分规定，分值和评定结果直接引用质量检测单位的质量检测结论。工程质量评定标准见表5-1。</w:t>
      </w:r>
    </w:p>
    <w:p>
      <w:pPr>
        <w:jc w:val="center"/>
        <w:rPr>
          <w:rFonts w:cs="Times New Roman"/>
          <w:b/>
          <w:szCs w:val="24"/>
        </w:rPr>
      </w:pPr>
      <w:r>
        <w:rPr>
          <w:rFonts w:cs="Times New Roman"/>
          <w:b/>
          <w:szCs w:val="24"/>
        </w:rPr>
        <w:t>表5-1 工程质量评定标准</w:t>
      </w:r>
    </w:p>
    <w:tbl>
      <w:tblPr>
        <w:tblStyle w:val="11"/>
        <w:tblW w:w="903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6"/>
        <w:gridCol w:w="818"/>
        <w:gridCol w:w="3062"/>
        <w:gridCol w:w="1706"/>
        <w:gridCol w:w="26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c>
          <w:tcPr>
            <w:tcW w:w="816" w:type="dxa"/>
            <w:vAlign w:val="center"/>
          </w:tcPr>
          <w:p>
            <w:pPr>
              <w:tabs>
                <w:tab w:val="left" w:pos="0"/>
              </w:tabs>
              <w:adjustRightInd w:val="0"/>
              <w:snapToGrid w:val="0"/>
              <w:spacing w:line="240" w:lineRule="auto"/>
              <w:jc w:val="center"/>
              <w:rPr>
                <w:rFonts w:cs="Times New Roman"/>
                <w:b/>
                <w:sz w:val="21"/>
                <w:szCs w:val="21"/>
                <w:lang w:val="zh-CN"/>
              </w:rPr>
            </w:pPr>
            <w:r>
              <w:rPr>
                <w:rFonts w:cs="Times New Roman"/>
                <w:b/>
                <w:sz w:val="21"/>
                <w:szCs w:val="21"/>
                <w:lang w:val="zh-CN"/>
              </w:rPr>
              <w:t>质量</w:t>
            </w:r>
          </w:p>
          <w:p>
            <w:pPr>
              <w:tabs>
                <w:tab w:val="left" w:pos="0"/>
              </w:tabs>
              <w:adjustRightInd w:val="0"/>
              <w:snapToGrid w:val="0"/>
              <w:spacing w:line="240" w:lineRule="auto"/>
              <w:jc w:val="center"/>
              <w:rPr>
                <w:rFonts w:cs="Times New Roman"/>
                <w:b/>
                <w:sz w:val="21"/>
                <w:szCs w:val="21"/>
                <w:lang w:val="zh-CN"/>
              </w:rPr>
            </w:pPr>
            <w:r>
              <w:rPr>
                <w:rFonts w:cs="Times New Roman"/>
                <w:b/>
                <w:sz w:val="21"/>
                <w:szCs w:val="21"/>
                <w:lang w:val="zh-CN"/>
              </w:rPr>
              <w:t>等级</w:t>
            </w:r>
          </w:p>
        </w:tc>
        <w:tc>
          <w:tcPr>
            <w:tcW w:w="818" w:type="dxa"/>
            <w:vAlign w:val="center"/>
          </w:tcPr>
          <w:p>
            <w:pPr>
              <w:adjustRightInd w:val="0"/>
              <w:snapToGrid w:val="0"/>
              <w:spacing w:line="240" w:lineRule="auto"/>
              <w:jc w:val="center"/>
              <w:rPr>
                <w:rFonts w:cs="Times New Roman"/>
                <w:b/>
                <w:sz w:val="21"/>
                <w:szCs w:val="21"/>
              </w:rPr>
            </w:pPr>
            <w:r>
              <w:rPr>
                <w:rFonts w:cs="Times New Roman"/>
                <w:b/>
                <w:sz w:val="21"/>
                <w:szCs w:val="21"/>
              </w:rPr>
              <w:t>分值</w:t>
            </w:r>
          </w:p>
        </w:tc>
        <w:tc>
          <w:tcPr>
            <w:tcW w:w="3062" w:type="dxa"/>
            <w:vAlign w:val="center"/>
          </w:tcPr>
          <w:p>
            <w:pPr>
              <w:adjustRightInd w:val="0"/>
              <w:snapToGrid w:val="0"/>
              <w:spacing w:line="240" w:lineRule="auto"/>
              <w:jc w:val="center"/>
              <w:rPr>
                <w:rFonts w:cs="Times New Roman"/>
                <w:b/>
                <w:sz w:val="21"/>
                <w:szCs w:val="21"/>
              </w:rPr>
            </w:pPr>
            <w:r>
              <w:rPr>
                <w:rFonts w:cs="Times New Roman"/>
                <w:b/>
                <w:sz w:val="21"/>
                <w:szCs w:val="21"/>
              </w:rPr>
              <w:t>单位工程</w:t>
            </w:r>
          </w:p>
        </w:tc>
        <w:tc>
          <w:tcPr>
            <w:tcW w:w="1706" w:type="dxa"/>
            <w:vAlign w:val="center"/>
          </w:tcPr>
          <w:p>
            <w:pPr>
              <w:adjustRightInd w:val="0"/>
              <w:snapToGrid w:val="0"/>
              <w:spacing w:line="240" w:lineRule="auto"/>
              <w:jc w:val="center"/>
              <w:rPr>
                <w:rFonts w:cs="Times New Roman"/>
                <w:b/>
                <w:sz w:val="21"/>
                <w:szCs w:val="21"/>
              </w:rPr>
            </w:pPr>
            <w:r>
              <w:rPr>
                <w:rFonts w:cs="Times New Roman"/>
                <w:b/>
                <w:sz w:val="21"/>
                <w:szCs w:val="21"/>
              </w:rPr>
              <w:t>分部工程</w:t>
            </w:r>
          </w:p>
        </w:tc>
        <w:tc>
          <w:tcPr>
            <w:tcW w:w="2631" w:type="dxa"/>
            <w:vAlign w:val="center"/>
          </w:tcPr>
          <w:p>
            <w:pPr>
              <w:adjustRightInd w:val="0"/>
              <w:snapToGrid w:val="0"/>
              <w:spacing w:line="240" w:lineRule="auto"/>
              <w:jc w:val="center"/>
              <w:rPr>
                <w:rFonts w:cs="Times New Roman"/>
                <w:b/>
                <w:sz w:val="21"/>
                <w:szCs w:val="21"/>
              </w:rPr>
            </w:pPr>
            <w:r>
              <w:rPr>
                <w:rFonts w:cs="Times New Roman"/>
                <w:b/>
                <w:sz w:val="21"/>
                <w:szCs w:val="21"/>
              </w:rPr>
              <w:t>单元（分项）工程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16" w:type="dxa"/>
            <w:vAlign w:val="center"/>
          </w:tcPr>
          <w:p>
            <w:pPr>
              <w:tabs>
                <w:tab w:val="left" w:pos="0"/>
              </w:tabs>
              <w:adjustRightInd w:val="0"/>
              <w:snapToGrid w:val="0"/>
              <w:spacing w:line="240" w:lineRule="auto"/>
              <w:jc w:val="center"/>
              <w:rPr>
                <w:rFonts w:cs="Times New Roman"/>
                <w:sz w:val="21"/>
                <w:szCs w:val="21"/>
                <w:lang w:val="zh-CN"/>
              </w:rPr>
            </w:pPr>
            <w:r>
              <w:rPr>
                <w:rFonts w:cs="Times New Roman"/>
                <w:sz w:val="21"/>
                <w:szCs w:val="21"/>
                <w:lang w:val="zh-CN"/>
              </w:rPr>
              <w:t>合格</w:t>
            </w:r>
          </w:p>
        </w:tc>
        <w:tc>
          <w:tcPr>
            <w:tcW w:w="818" w:type="dxa"/>
            <w:vAlign w:val="center"/>
          </w:tcPr>
          <w:p>
            <w:pPr>
              <w:tabs>
                <w:tab w:val="left" w:pos="0"/>
              </w:tabs>
              <w:adjustRightInd w:val="0"/>
              <w:snapToGrid w:val="0"/>
              <w:spacing w:line="240" w:lineRule="auto"/>
              <w:jc w:val="center"/>
              <w:rPr>
                <w:rFonts w:cs="Times New Roman"/>
                <w:sz w:val="21"/>
                <w:szCs w:val="21"/>
                <w:lang w:val="zh-CN"/>
              </w:rPr>
            </w:pPr>
            <w:r>
              <w:rPr>
                <w:rFonts w:cs="Times New Roman"/>
                <w:sz w:val="21"/>
                <w:szCs w:val="21"/>
                <w:lang w:val="zh-CN"/>
              </w:rPr>
              <w:t>70~95</w:t>
            </w:r>
          </w:p>
        </w:tc>
        <w:tc>
          <w:tcPr>
            <w:tcW w:w="3062"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分部工程质量全部合格；</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中间产品及原材料质量全部合格；</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⑶</w:t>
            </w:r>
            <w:r>
              <w:rPr>
                <w:rFonts w:cs="Times New Roman"/>
                <w:sz w:val="21"/>
                <w:szCs w:val="21"/>
                <w:lang w:val="zh-CN"/>
              </w:rPr>
              <w:t>工程外观质量得分率达到70%以上；</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⑷</w:t>
            </w:r>
            <w:r>
              <w:rPr>
                <w:rFonts w:cs="Times New Roman"/>
                <w:sz w:val="21"/>
                <w:szCs w:val="21"/>
                <w:lang w:val="zh-CN"/>
              </w:rPr>
              <w:t>施工质量检验资料基本齐全</w:t>
            </w:r>
          </w:p>
        </w:tc>
        <w:tc>
          <w:tcPr>
            <w:tcW w:w="1706"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单元工程质量全部合格；</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中间产品质量及原材料质量全部合格</w:t>
            </w:r>
          </w:p>
        </w:tc>
        <w:tc>
          <w:tcPr>
            <w:tcW w:w="2631"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工程材料符合设计和规范要求；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外型尺寸符合设计要求；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⑶</w:t>
            </w:r>
            <w:r>
              <w:rPr>
                <w:rFonts w:cs="Times New Roman"/>
                <w:sz w:val="21"/>
                <w:szCs w:val="21"/>
                <w:lang w:val="zh-CN"/>
              </w:rPr>
              <w:t>砼强度、砌石砂浆强度符合要求；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⑷</w:t>
            </w:r>
            <w:r>
              <w:rPr>
                <w:rFonts w:cs="Times New Roman"/>
                <w:sz w:val="21"/>
                <w:szCs w:val="21"/>
                <w:lang w:val="zh-CN"/>
              </w:rPr>
              <w:t>工程无建筑物变型、裂缝、缺陷、塌陷等情况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16" w:type="dxa"/>
            <w:vAlign w:val="center"/>
          </w:tcPr>
          <w:p>
            <w:pPr>
              <w:tabs>
                <w:tab w:val="left" w:pos="0"/>
              </w:tabs>
              <w:adjustRightInd w:val="0"/>
              <w:snapToGrid w:val="0"/>
              <w:spacing w:line="240" w:lineRule="auto"/>
              <w:jc w:val="center"/>
              <w:rPr>
                <w:rFonts w:cs="Times New Roman"/>
                <w:sz w:val="21"/>
                <w:szCs w:val="21"/>
                <w:lang w:val="zh-CN"/>
              </w:rPr>
            </w:pPr>
            <w:r>
              <w:rPr>
                <w:rFonts w:cs="Times New Roman"/>
                <w:sz w:val="21"/>
                <w:szCs w:val="21"/>
                <w:lang w:val="zh-CN"/>
              </w:rPr>
              <w:t>优良</w:t>
            </w:r>
          </w:p>
        </w:tc>
        <w:tc>
          <w:tcPr>
            <w:tcW w:w="818" w:type="dxa"/>
            <w:vAlign w:val="center"/>
          </w:tcPr>
          <w:p>
            <w:pPr>
              <w:tabs>
                <w:tab w:val="left" w:pos="0"/>
              </w:tabs>
              <w:adjustRightInd w:val="0"/>
              <w:snapToGrid w:val="0"/>
              <w:spacing w:line="240" w:lineRule="auto"/>
              <w:jc w:val="center"/>
              <w:rPr>
                <w:rFonts w:cs="Times New Roman"/>
                <w:sz w:val="21"/>
                <w:szCs w:val="21"/>
                <w:lang w:val="zh-CN"/>
              </w:rPr>
            </w:pPr>
            <w:r>
              <w:rPr>
                <w:rFonts w:cs="Times New Roman"/>
                <w:sz w:val="21"/>
                <w:szCs w:val="21"/>
                <w:lang w:val="zh-CN"/>
              </w:rPr>
              <w:t>≥95</w:t>
            </w:r>
          </w:p>
        </w:tc>
        <w:tc>
          <w:tcPr>
            <w:tcW w:w="3062"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分部工程质量全部合格；其中有50%以上达到优良，主要分部工程质量优良，且无施工质量事故；</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中间产品及原材料质量全部合格；</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⑶</w:t>
            </w:r>
            <w:r>
              <w:rPr>
                <w:rFonts w:cs="Times New Roman"/>
                <w:sz w:val="21"/>
                <w:szCs w:val="21"/>
                <w:lang w:val="zh-CN"/>
              </w:rPr>
              <w:t>工程外观质量得分率达到85%以上；</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⑷</w:t>
            </w:r>
            <w:r>
              <w:rPr>
                <w:rFonts w:cs="Times New Roman"/>
                <w:sz w:val="21"/>
                <w:szCs w:val="21"/>
                <w:lang w:val="zh-CN"/>
              </w:rPr>
              <w:t>施工质量检验资料基本齐全</w:t>
            </w:r>
          </w:p>
        </w:tc>
        <w:tc>
          <w:tcPr>
            <w:tcW w:w="1706"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单元工程质量全部合格；其中50%以上优良，主要单元工程、重要隐蔽工程及关键部位的单元工程质量优良且无质量事故；</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中间产品质量及原材料质量全部合格</w:t>
            </w:r>
          </w:p>
        </w:tc>
        <w:tc>
          <w:tcPr>
            <w:tcW w:w="2631" w:type="dxa"/>
            <w:vAlign w:val="center"/>
          </w:tcPr>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⑴</w:t>
            </w:r>
            <w:r>
              <w:rPr>
                <w:rFonts w:cs="Times New Roman"/>
                <w:sz w:val="21"/>
                <w:szCs w:val="21"/>
                <w:lang w:val="zh-CN"/>
              </w:rPr>
              <w:t>工程材料符合设计和规范要求；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⑵</w:t>
            </w:r>
            <w:r>
              <w:rPr>
                <w:rFonts w:cs="Times New Roman"/>
                <w:sz w:val="21"/>
                <w:szCs w:val="21"/>
                <w:lang w:val="zh-CN"/>
              </w:rPr>
              <w:t>外型尺寸符合设计要求；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⑶</w:t>
            </w:r>
            <w:r>
              <w:rPr>
                <w:rFonts w:cs="Times New Roman"/>
                <w:sz w:val="21"/>
                <w:szCs w:val="21"/>
                <w:lang w:val="zh-CN"/>
              </w:rPr>
              <w:t>砼强度、砌石砂浆强度符合要求；</w:t>
            </w:r>
          </w:p>
          <w:p>
            <w:pPr>
              <w:tabs>
                <w:tab w:val="left" w:pos="0"/>
              </w:tabs>
              <w:adjustRightInd w:val="0"/>
              <w:snapToGrid w:val="0"/>
              <w:spacing w:line="240" w:lineRule="auto"/>
              <w:rPr>
                <w:rFonts w:cs="Times New Roman"/>
                <w:sz w:val="21"/>
                <w:szCs w:val="21"/>
                <w:lang w:val="zh-CN"/>
              </w:rPr>
            </w:pPr>
            <w:r>
              <w:rPr>
                <w:rFonts w:hint="eastAsia" w:ascii="宋体" w:hAnsi="宋体" w:cs="宋体"/>
                <w:sz w:val="21"/>
                <w:szCs w:val="21"/>
                <w:lang w:val="zh-CN"/>
              </w:rPr>
              <w:t>⑷</w:t>
            </w:r>
            <w:r>
              <w:rPr>
                <w:rFonts w:cs="Times New Roman"/>
                <w:sz w:val="21"/>
                <w:szCs w:val="21"/>
                <w:lang w:val="zh-CN"/>
              </w:rPr>
              <w:t>工程无建筑物变型、裂缝、缺陷、塌陷等情况</w:t>
            </w:r>
          </w:p>
        </w:tc>
      </w:tr>
    </w:tbl>
    <w:p>
      <w:pPr>
        <w:pStyle w:val="4"/>
      </w:pPr>
      <w:bookmarkStart w:id="24" w:name="_Toc44344043"/>
      <w:r>
        <w:rPr>
          <w:rFonts w:hint="eastAsia"/>
        </w:rPr>
        <w:t>5.2.2检查内容</w:t>
      </w:r>
      <w:bookmarkEnd w:id="24"/>
    </w:p>
    <w:p>
      <w:pPr>
        <w:ind w:firstLine="480" w:firstLineChars="200"/>
        <w:rPr>
          <w:rFonts w:cs="Times New Roman"/>
        </w:rPr>
      </w:pPr>
      <w:r>
        <w:rPr>
          <w:rFonts w:hint="eastAsia" w:cs="Times New Roman"/>
        </w:rPr>
        <w:t>主要检查内容包括：</w:t>
      </w:r>
    </w:p>
    <w:p>
      <w:pPr>
        <w:ind w:firstLine="480" w:firstLineChars="200"/>
        <w:rPr>
          <w:rFonts w:cs="Times New Roman"/>
        </w:rPr>
      </w:pPr>
      <w:r>
        <w:rPr>
          <w:rFonts w:hint="eastAsia" w:cs="Times New Roman"/>
        </w:rPr>
        <w:t>（1）检查施工记录、单元工程验收资料、监理工程师检查意见、完成的工程量；</w:t>
      </w:r>
    </w:p>
    <w:p>
      <w:pPr>
        <w:ind w:firstLine="480" w:firstLineChars="200"/>
        <w:rPr>
          <w:rFonts w:cs="Times New Roman"/>
        </w:rPr>
      </w:pPr>
      <w:r>
        <w:rPr>
          <w:rFonts w:hint="eastAsia" w:cs="Times New Roman"/>
        </w:rPr>
        <w:t>（2）检查工程材料是否符合设计和规范要求；</w:t>
      </w:r>
    </w:p>
    <w:p>
      <w:pPr>
        <w:ind w:firstLine="480" w:firstLineChars="200"/>
        <w:rPr>
          <w:rFonts w:cs="Times New Roman"/>
        </w:rPr>
      </w:pPr>
      <w:r>
        <w:rPr>
          <w:rFonts w:hint="eastAsia" w:cs="Times New Roman"/>
        </w:rPr>
        <w:t>（3）通过查阅有关资料，检查隐蔽工程；</w:t>
      </w:r>
    </w:p>
    <w:p>
      <w:pPr>
        <w:ind w:firstLine="480" w:firstLineChars="200"/>
        <w:rPr>
          <w:rFonts w:cs="Times New Roman"/>
        </w:rPr>
      </w:pPr>
      <w:r>
        <w:rPr>
          <w:rFonts w:hint="eastAsia" w:cs="Times New Roman"/>
        </w:rPr>
        <w:t>（4）现场检查分部工程外型尺寸、外观情况等；</w:t>
      </w:r>
    </w:p>
    <w:p>
      <w:pPr>
        <w:ind w:firstLine="480" w:firstLineChars="200"/>
        <w:rPr>
          <w:rFonts w:cs="Times New Roman"/>
        </w:rPr>
      </w:pPr>
      <w:r>
        <w:rPr>
          <w:rFonts w:hint="eastAsia" w:cs="Times New Roman"/>
        </w:rPr>
        <w:t>（5）检查砼强度、砌石砂浆标号是否符合要求；</w:t>
      </w:r>
    </w:p>
    <w:p>
      <w:pPr>
        <w:ind w:firstLine="480" w:firstLineChars="200"/>
        <w:rPr>
          <w:rFonts w:cs="Times New Roman"/>
        </w:rPr>
      </w:pPr>
      <w:r>
        <w:rPr>
          <w:rFonts w:hint="eastAsia" w:cs="Times New Roman"/>
        </w:rPr>
        <w:t>（6）现场检查分部工程是否存在工程缺陷，如建筑物变形、裂缝、缺损、塌陷等及其处理情况；</w:t>
      </w:r>
    </w:p>
    <w:p>
      <w:pPr>
        <w:ind w:firstLine="480" w:firstLineChars="200"/>
        <w:rPr>
          <w:rFonts w:cs="Times New Roman"/>
        </w:rPr>
      </w:pPr>
      <w:r>
        <w:rPr>
          <w:rFonts w:hint="eastAsia" w:cs="Times New Roman"/>
        </w:rPr>
        <w:t>（7）判定工程功能是否达到设计要求；</w:t>
      </w:r>
    </w:p>
    <w:p>
      <w:pPr>
        <w:ind w:firstLine="480" w:firstLineChars="200"/>
        <w:rPr>
          <w:rFonts w:cs="Times New Roman"/>
        </w:rPr>
      </w:pPr>
      <w:r>
        <w:rPr>
          <w:rFonts w:hint="eastAsia" w:cs="Times New Roman"/>
        </w:rPr>
        <w:t>（8）工程总体评价是否达到质量标准，功能是否正常发挥，总体评价质量等级。</w:t>
      </w:r>
    </w:p>
    <w:p>
      <w:pPr>
        <w:pStyle w:val="4"/>
      </w:pPr>
      <w:bookmarkStart w:id="25" w:name="_Toc44344044"/>
      <w:r>
        <w:rPr>
          <w:rFonts w:hint="eastAsia"/>
        </w:rPr>
        <w:t>5.2.3工程设施质量评定结果</w:t>
      </w:r>
      <w:bookmarkEnd w:id="25"/>
    </w:p>
    <w:p>
      <w:pPr>
        <w:ind w:firstLine="480" w:firstLineChars="200"/>
        <w:rPr>
          <w:rFonts w:cs="Times New Roman"/>
        </w:rPr>
      </w:pPr>
      <w:r>
        <w:rPr>
          <w:rFonts w:hint="eastAsia" w:cs="Times New Roman"/>
        </w:rPr>
        <w:t>通过查阅施工管理制度、工程质量检验、质量评定记录，以及现场查勘，验收组认为监理资料中有关的水土保持工程，合格率100%。质量检验和评定程序严谨，资料翔实，工程质量合格，达到了规范设计要求。</w:t>
      </w:r>
    </w:p>
    <w:p>
      <w:pPr>
        <w:ind w:firstLine="480" w:firstLineChars="200"/>
        <w:rPr>
          <w:rFonts w:cs="Times New Roman"/>
        </w:rPr>
      </w:pPr>
      <w:r>
        <w:rPr>
          <w:rFonts w:hint="eastAsia" w:cs="Times New Roman"/>
        </w:rPr>
        <w:t>综上所述，根据工程资料检查及现场质量抽查，验收组认为水土保持工程措施从原材料、中间产品至成品质量合格，建筑物结构尺寸规则，外表美观，质量符合设计和规范要求，工程措施质量总体合格。</w:t>
      </w:r>
    </w:p>
    <w:p>
      <w:pPr>
        <w:pStyle w:val="3"/>
      </w:pPr>
      <w:bookmarkStart w:id="26" w:name="_Toc44344045"/>
      <w:r>
        <w:rPr>
          <w:rFonts w:hint="eastAsia"/>
        </w:rPr>
        <w:t>5.3植物措施质量评价</w:t>
      </w:r>
      <w:bookmarkEnd w:id="26"/>
    </w:p>
    <w:p>
      <w:pPr>
        <w:ind w:firstLine="480" w:firstLineChars="200"/>
        <w:rPr>
          <w:rFonts w:cs="Times New Roman"/>
        </w:rPr>
      </w:pPr>
      <w:r>
        <w:rPr>
          <w:rFonts w:hint="eastAsia" w:cs="Times New Roman"/>
        </w:rPr>
        <w:t>由于机场工程的特殊性质，项目区建成后均为硬化地面，无景观绿化。</w:t>
      </w:r>
    </w:p>
    <w:p>
      <w:pPr>
        <w:rPr>
          <w:rFonts w:cs="Times New Roman"/>
        </w:rPr>
      </w:pPr>
      <w:r>
        <w:rPr>
          <w:rFonts w:cs="Times New Roman"/>
        </w:rPr>
        <w:pict>
          <v:shape id="_x0000_i1025" o:spt="75" type="#_x0000_t75" style="height:311.25pt;width:415.5pt;" filled="f" o:preferrelative="t" stroked="f" coordsize="21600,21600">
            <v:path/>
            <v:fill on="f" focussize="0,0"/>
            <v:stroke on="f" joinstyle="miter"/>
            <v:imagedata r:id="rId12" o:title="IMG_20200629_104658"/>
            <o:lock v:ext="edit" aspectratio="t"/>
            <w10:wrap type="none"/>
            <w10:anchorlock/>
          </v:shape>
        </w:pict>
      </w:r>
    </w:p>
    <w:p>
      <w:pPr>
        <w:jc w:val="center"/>
        <w:rPr>
          <w:rFonts w:cs="Times New Roman"/>
          <w:b/>
        </w:rPr>
      </w:pPr>
      <w:r>
        <w:rPr>
          <w:rFonts w:hint="eastAsia" w:cs="Times New Roman"/>
          <w:b/>
        </w:rPr>
        <w:t>图5-1 项目区建成后现状</w:t>
      </w:r>
    </w:p>
    <w:p>
      <w:pPr>
        <w:sectPr>
          <w:pgSz w:w="11906" w:h="16838"/>
          <w:pgMar w:top="1440" w:right="1800" w:bottom="1440" w:left="1800" w:header="851" w:footer="992" w:gutter="0"/>
          <w:cols w:space="425" w:num="1"/>
          <w:docGrid w:type="lines" w:linePitch="312" w:charSpace="0"/>
        </w:sectPr>
      </w:pPr>
    </w:p>
    <w:p>
      <w:pPr>
        <w:pStyle w:val="2"/>
      </w:pPr>
      <w:bookmarkStart w:id="27" w:name="_Toc44344046"/>
      <w:r>
        <w:rPr>
          <w:rFonts w:hint="eastAsia"/>
        </w:rPr>
        <w:t>6.水土保持监测</w:t>
      </w:r>
      <w:bookmarkEnd w:id="27"/>
    </w:p>
    <w:p>
      <w:pPr>
        <w:ind w:firstLine="480" w:firstLineChars="200"/>
        <w:rPr>
          <w:rFonts w:cs="Times New Roman"/>
        </w:rPr>
      </w:pPr>
      <w:r>
        <w:rPr>
          <w:rFonts w:hint="eastAsia" w:cs="Times New Roman"/>
        </w:rPr>
        <w:t>本工程的建设单位未委托相关单位开展水土保持监测。</w:t>
      </w:r>
    </w:p>
    <w:p>
      <w:pPr>
        <w:pStyle w:val="2"/>
      </w:pPr>
      <w:bookmarkStart w:id="28" w:name="_Toc44344047"/>
      <w:r>
        <w:rPr>
          <w:rFonts w:hint="eastAsia"/>
        </w:rPr>
        <w:t>7.水土保持监理</w:t>
      </w:r>
      <w:bookmarkEnd w:id="28"/>
    </w:p>
    <w:p>
      <w:pPr>
        <w:ind w:firstLine="480" w:firstLineChars="200"/>
        <w:rPr>
          <w:rFonts w:cs="Times New Roman"/>
        </w:rPr>
      </w:pPr>
      <w:r>
        <w:rPr>
          <w:rFonts w:hint="eastAsia" w:cs="Times New Roman"/>
        </w:rPr>
        <w:t>建设单位未委托专门的水土保持监理单位，本工程水土保持监理工作由主体工程监理单位深圳市邦迪工程顾问有限公司负责监理，一并纳入主体工程监理中，未单独委托水土保持专项监理。监理单位在业主授权范围内，对施工全过程实施了全面的监理，以保证质量、进度、投资三大目标的实现。</w:t>
      </w:r>
    </w:p>
    <w:p>
      <w:pPr>
        <w:ind w:firstLine="480" w:firstLineChars="200"/>
        <w:rPr>
          <w:rFonts w:cs="Times New Roman"/>
        </w:rPr>
      </w:pPr>
      <w:r>
        <w:rPr>
          <w:rFonts w:hint="eastAsia" w:cs="Times New Roman"/>
        </w:rPr>
        <w:t>监理单位接受我司委托后，成立工程监理部，并制定各种相应的监理程序，建立各项规章制度，依据国家施工规范和施工合同要求，通过现场检查、旁站、试验检测、工序验收等监理手段，保证了各道工序及最终工程的质量，保证了各项工程措施和植物措施的有效实施，按照水土保持工程与主体工程同时设计、同时施工、同时竣工验收交付使用的“三同时”原则开展工作，保证了水土保持方案中各项防治目标的实现。</w:t>
      </w:r>
    </w:p>
    <w:p>
      <w:pPr>
        <w:ind w:firstLine="480" w:firstLineChars="200"/>
        <w:rPr>
          <w:rFonts w:cs="Times New Roman"/>
        </w:rPr>
      </w:pPr>
      <w:r>
        <w:rPr>
          <w:rFonts w:hint="eastAsia" w:cs="Times New Roman"/>
        </w:rPr>
        <w:t>监理单位结合工程自身特点制定了“严以律已，信守合同，加强控制，力创优质”的监理方针，并在“抓工期，重安全，创优质”的指导思路下，实行“三控二管”工作中坚持公平、公正原则，始终恪守“科学、公正、廉洁”的职业准则，使监理工作健康、顺利开展。</w:t>
      </w:r>
    </w:p>
    <w:p>
      <w:pPr>
        <w:pStyle w:val="2"/>
      </w:pPr>
      <w:bookmarkStart w:id="29" w:name="_Toc44344048"/>
      <w:r>
        <w:rPr>
          <w:rFonts w:hint="eastAsia"/>
        </w:rPr>
        <w:t>8.水行政主管部门监督检查意见落实情况</w:t>
      </w:r>
      <w:bookmarkEnd w:id="29"/>
    </w:p>
    <w:p>
      <w:pPr>
        <w:ind w:firstLine="480" w:firstLineChars="200"/>
        <w:rPr>
          <w:rFonts w:cs="Times New Roman"/>
        </w:rPr>
      </w:pPr>
      <w:r>
        <w:rPr>
          <w:rFonts w:hint="eastAsia" w:cs="Times New Roman"/>
        </w:rPr>
        <w:t>水行政主管部门未进行监督检查。</w:t>
      </w:r>
    </w:p>
    <w:p/>
    <w:p/>
    <w:p>
      <w:pPr>
        <w:sectPr>
          <w:pgSz w:w="11906" w:h="16838"/>
          <w:pgMar w:top="1440" w:right="1800" w:bottom="1440" w:left="1800" w:header="851" w:footer="992" w:gutter="0"/>
          <w:cols w:space="425" w:num="1"/>
          <w:docGrid w:type="lines" w:linePitch="312" w:charSpace="0"/>
        </w:sectPr>
      </w:pPr>
    </w:p>
    <w:p>
      <w:pPr>
        <w:pStyle w:val="2"/>
      </w:pPr>
      <w:bookmarkStart w:id="30" w:name="_Toc44344049"/>
      <w:r>
        <w:rPr>
          <w:rFonts w:hint="eastAsia"/>
        </w:rPr>
        <w:t>9.水土保持效果评价</w:t>
      </w:r>
      <w:bookmarkEnd w:id="30"/>
    </w:p>
    <w:p>
      <w:pPr>
        <w:pStyle w:val="3"/>
      </w:pPr>
      <w:bookmarkStart w:id="31" w:name="_Toc44344050"/>
      <w:r>
        <w:rPr>
          <w:rFonts w:hint="eastAsia"/>
        </w:rPr>
        <w:t>9.1水土流失防治效果</w:t>
      </w:r>
      <w:bookmarkEnd w:id="31"/>
    </w:p>
    <w:p>
      <w:pPr>
        <w:pStyle w:val="4"/>
      </w:pPr>
      <w:bookmarkStart w:id="32" w:name="_Toc44344051"/>
      <w:r>
        <w:rPr>
          <w:rFonts w:hint="eastAsia"/>
        </w:rPr>
        <w:t>9.1.1扰动土地整治率</w:t>
      </w:r>
      <w:bookmarkEnd w:id="32"/>
    </w:p>
    <w:p>
      <w:pPr>
        <w:ind w:firstLine="480" w:firstLineChars="200"/>
        <w:rPr>
          <w:rFonts w:cs="Times New Roman"/>
        </w:rPr>
      </w:pPr>
      <w:r>
        <w:rPr>
          <w:rFonts w:cs="Times New Roman"/>
        </w:rPr>
        <w:t>经核定，本工程防治责任范围内扰动土地面积为</w:t>
      </w:r>
      <w:r>
        <w:rPr>
          <w:rFonts w:hint="eastAsia" w:cs="Times New Roman"/>
        </w:rPr>
        <w:t>18645</w:t>
      </w:r>
      <w:r>
        <w:rPr>
          <w:rFonts w:cs="Times New Roman"/>
        </w:rPr>
        <w:t>m</w:t>
      </w:r>
      <w:r>
        <w:rPr>
          <w:rFonts w:cs="Times New Roman"/>
          <w:vertAlign w:val="superscript"/>
        </w:rPr>
        <w:t>2</w:t>
      </w:r>
      <w:r>
        <w:rPr>
          <w:rFonts w:cs="Times New Roman"/>
        </w:rPr>
        <w:t>，水土保持治理措施面积</w:t>
      </w:r>
      <w:r>
        <w:rPr>
          <w:rFonts w:hint="eastAsia" w:cs="Times New Roman"/>
        </w:rPr>
        <w:t>18645</w:t>
      </w:r>
      <w:r>
        <w:rPr>
          <w:rFonts w:cs="Times New Roman"/>
        </w:rPr>
        <w:t>m</w:t>
      </w:r>
      <w:r>
        <w:rPr>
          <w:rFonts w:cs="Times New Roman"/>
          <w:vertAlign w:val="superscript"/>
        </w:rPr>
        <w:t>2</w:t>
      </w:r>
      <w:r>
        <w:rPr>
          <w:rFonts w:cs="Times New Roman"/>
        </w:rPr>
        <w:t>，植物措施</w:t>
      </w:r>
      <w:r>
        <w:rPr>
          <w:rFonts w:hint="eastAsia" w:cs="Times New Roman"/>
        </w:rPr>
        <w:t>500</w:t>
      </w:r>
      <w:r>
        <w:rPr>
          <w:rFonts w:cs="Times New Roman"/>
        </w:rPr>
        <w:t>m</w:t>
      </w:r>
      <w:r>
        <w:rPr>
          <w:rFonts w:cs="Times New Roman"/>
          <w:vertAlign w:val="superscript"/>
        </w:rPr>
        <w:t>2</w:t>
      </w:r>
      <w:r>
        <w:rPr>
          <w:rFonts w:cs="Times New Roman"/>
        </w:rPr>
        <w:t>，建（构）筑物及场地硬化面积</w:t>
      </w:r>
      <w:r>
        <w:rPr>
          <w:rFonts w:hint="eastAsia" w:cs="Times New Roman"/>
        </w:rPr>
        <w:t>18145</w:t>
      </w:r>
      <w:r>
        <w:rPr>
          <w:rFonts w:cs="Times New Roman"/>
        </w:rPr>
        <w:t>m</w:t>
      </w:r>
      <w:r>
        <w:rPr>
          <w:rFonts w:cs="Times New Roman"/>
          <w:vertAlign w:val="superscript"/>
        </w:rPr>
        <w:t>2</w:t>
      </w:r>
      <w:r>
        <w:rPr>
          <w:rFonts w:cs="Times New Roman"/>
        </w:rPr>
        <w:t>，项目区综合扰动土地整治率</w:t>
      </w:r>
      <w:r>
        <w:rPr>
          <w:rFonts w:hint="eastAsia" w:cs="Times New Roman"/>
        </w:rPr>
        <w:t>100</w:t>
      </w:r>
      <w:r>
        <w:rPr>
          <w:rFonts w:cs="Times New Roman"/>
        </w:rPr>
        <w:t>%。</w:t>
      </w:r>
    </w:p>
    <w:p>
      <w:pPr>
        <w:ind w:firstLine="480" w:firstLineChars="200"/>
        <w:rPr>
          <w:rFonts w:cs="Times New Roman"/>
        </w:rPr>
      </w:pPr>
      <w:r>
        <w:rPr>
          <w:rFonts w:cs="Times New Roman"/>
        </w:rPr>
        <w:t>本项目各分区的扰动土地整治率见表</w:t>
      </w:r>
      <w:r>
        <w:rPr>
          <w:rFonts w:hint="eastAsia" w:cs="Times New Roman"/>
        </w:rPr>
        <w:t>9</w:t>
      </w:r>
      <w:r>
        <w:rPr>
          <w:rFonts w:cs="Times New Roman"/>
        </w:rPr>
        <w:t>-1。</w:t>
      </w:r>
    </w:p>
    <w:p>
      <w:pPr>
        <w:widowControl/>
        <w:jc w:val="center"/>
        <w:rPr>
          <w:rFonts w:cs="Times New Roman"/>
          <w:b/>
          <w:szCs w:val="24"/>
        </w:rPr>
      </w:pPr>
      <w:r>
        <w:rPr>
          <w:rFonts w:cs="Times New Roman"/>
          <w:b/>
          <w:szCs w:val="24"/>
        </w:rPr>
        <w:t>表</w:t>
      </w:r>
      <w:r>
        <w:rPr>
          <w:rFonts w:hint="eastAsia" w:cs="Times New Roman"/>
          <w:b/>
          <w:szCs w:val="24"/>
        </w:rPr>
        <w:t>9</w:t>
      </w:r>
      <w:r>
        <w:rPr>
          <w:rFonts w:cs="Times New Roman"/>
          <w:b/>
          <w:szCs w:val="24"/>
        </w:rPr>
        <w:t>-1项目区扰动土地整治率计算结果</w:t>
      </w:r>
    </w:p>
    <w:tbl>
      <w:tblPr>
        <w:tblStyle w:val="11"/>
        <w:tblW w:w="9193" w:type="dxa"/>
        <w:tblInd w:w="94" w:type="dxa"/>
        <w:tblLayout w:type="fixed"/>
        <w:tblCellMar>
          <w:top w:w="0" w:type="dxa"/>
          <w:left w:w="108" w:type="dxa"/>
          <w:bottom w:w="0" w:type="dxa"/>
          <w:right w:w="108" w:type="dxa"/>
        </w:tblCellMar>
      </w:tblPr>
      <w:tblGrid>
        <w:gridCol w:w="1432"/>
        <w:gridCol w:w="1137"/>
        <w:gridCol w:w="1168"/>
        <w:gridCol w:w="1365"/>
        <w:gridCol w:w="1659"/>
        <w:gridCol w:w="1111"/>
        <w:gridCol w:w="1321"/>
      </w:tblGrid>
      <w:tr>
        <w:tblPrEx>
          <w:tblLayout w:type="fixed"/>
          <w:tblCellMar>
            <w:top w:w="0" w:type="dxa"/>
            <w:left w:w="108" w:type="dxa"/>
            <w:bottom w:w="0" w:type="dxa"/>
            <w:right w:w="108" w:type="dxa"/>
          </w:tblCellMar>
        </w:tblPrEx>
        <w:trPr>
          <w:trHeight w:val="315" w:hRule="atLeast"/>
        </w:trPr>
        <w:tc>
          <w:tcPr>
            <w:tcW w:w="14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防治分区</w:t>
            </w:r>
          </w:p>
        </w:tc>
        <w:tc>
          <w:tcPr>
            <w:tcW w:w="113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扰动土地面积（m</w:t>
            </w:r>
            <w:r>
              <w:rPr>
                <w:rFonts w:cs="Times New Roman"/>
                <w:b/>
                <w:bCs/>
                <w:color w:val="000000"/>
                <w:kern w:val="0"/>
                <w:sz w:val="21"/>
                <w:szCs w:val="21"/>
                <w:vertAlign w:val="superscript"/>
              </w:rPr>
              <w:t>2</w:t>
            </w:r>
            <w:r>
              <w:rPr>
                <w:rFonts w:cs="Times New Roman"/>
                <w:b/>
                <w:bCs/>
                <w:color w:val="000000"/>
                <w:kern w:val="0"/>
                <w:sz w:val="21"/>
                <w:szCs w:val="21"/>
              </w:rPr>
              <w:t>）</w:t>
            </w:r>
          </w:p>
        </w:tc>
        <w:tc>
          <w:tcPr>
            <w:tcW w:w="5303" w:type="dxa"/>
            <w:gridSpan w:val="4"/>
            <w:tcBorders>
              <w:top w:val="single" w:color="auto" w:sz="4" w:space="0"/>
              <w:left w:val="nil"/>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扰动土地整治面积（m</w:t>
            </w:r>
            <w:r>
              <w:rPr>
                <w:rFonts w:cs="Times New Roman"/>
                <w:b/>
                <w:bCs/>
                <w:color w:val="000000"/>
                <w:kern w:val="0"/>
                <w:sz w:val="21"/>
                <w:szCs w:val="21"/>
                <w:vertAlign w:val="superscript"/>
              </w:rPr>
              <w:t>2</w:t>
            </w:r>
            <w:r>
              <w:rPr>
                <w:rFonts w:cs="Times New Roman"/>
                <w:b/>
                <w:bCs/>
                <w:color w:val="000000"/>
                <w:kern w:val="0"/>
                <w:sz w:val="21"/>
                <w:szCs w:val="21"/>
              </w:rPr>
              <w:t>）</w:t>
            </w:r>
          </w:p>
        </w:tc>
        <w:tc>
          <w:tcPr>
            <w:tcW w:w="132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扰动土地整治率（%）</w:t>
            </w:r>
          </w:p>
        </w:tc>
      </w:tr>
      <w:tr>
        <w:tblPrEx>
          <w:tblLayout w:type="fixed"/>
          <w:tblCellMar>
            <w:top w:w="0" w:type="dxa"/>
            <w:left w:w="108" w:type="dxa"/>
            <w:bottom w:w="0" w:type="dxa"/>
            <w:right w:w="108" w:type="dxa"/>
          </w:tblCellMar>
        </w:tblPrEx>
        <w:trPr>
          <w:trHeight w:val="468" w:hRule="atLeast"/>
        </w:trPr>
        <w:tc>
          <w:tcPr>
            <w:tcW w:w="14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68" w:type="dxa"/>
            <w:vMerge w:val="restart"/>
            <w:tcBorders>
              <w:top w:val="nil"/>
              <w:left w:val="single" w:color="auto" w:sz="4" w:space="0"/>
              <w:bottom w:val="single" w:color="000000"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植物措施占地面积</w:t>
            </w:r>
          </w:p>
        </w:tc>
        <w:tc>
          <w:tcPr>
            <w:tcW w:w="1365"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工程措施占地面积</w:t>
            </w:r>
          </w:p>
        </w:tc>
        <w:tc>
          <w:tcPr>
            <w:tcW w:w="1659"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建（构）筑物及场地硬化</w:t>
            </w:r>
          </w:p>
        </w:tc>
        <w:tc>
          <w:tcPr>
            <w:tcW w:w="1111"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小计</w:t>
            </w:r>
          </w:p>
        </w:tc>
        <w:tc>
          <w:tcPr>
            <w:tcW w:w="13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r>
      <w:tr>
        <w:tblPrEx>
          <w:tblLayout w:type="fixed"/>
          <w:tblCellMar>
            <w:top w:w="0" w:type="dxa"/>
            <w:left w:w="108" w:type="dxa"/>
            <w:bottom w:w="0" w:type="dxa"/>
            <w:right w:w="108" w:type="dxa"/>
          </w:tblCellMar>
        </w:tblPrEx>
        <w:trPr>
          <w:trHeight w:val="468" w:hRule="atLeast"/>
        </w:trPr>
        <w:tc>
          <w:tcPr>
            <w:tcW w:w="14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3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68" w:type="dxa"/>
            <w:vMerge w:val="continue"/>
            <w:tcBorders>
              <w:top w:val="nil"/>
              <w:left w:val="single" w:color="auto" w:sz="4" w:space="0"/>
              <w:bottom w:val="single" w:color="000000" w:sz="4" w:space="0"/>
              <w:right w:val="single" w:color="auto" w:sz="4" w:space="0"/>
            </w:tcBorders>
            <w:vAlign w:val="center"/>
          </w:tcPr>
          <w:p>
            <w:pPr>
              <w:widowControl/>
              <w:jc w:val="center"/>
              <w:rPr>
                <w:rFonts w:cs="Times New Roman"/>
                <w:b/>
                <w:bCs/>
                <w:color w:val="000000"/>
                <w:kern w:val="0"/>
                <w:sz w:val="21"/>
                <w:szCs w:val="21"/>
              </w:rPr>
            </w:pPr>
          </w:p>
        </w:tc>
        <w:tc>
          <w:tcPr>
            <w:tcW w:w="1365"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659"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11"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3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vAlign w:val="center"/>
          </w:tcPr>
          <w:p>
            <w:pPr>
              <w:widowControl/>
              <w:jc w:val="center"/>
              <w:rPr>
                <w:rFonts w:cs="Times New Roman"/>
                <w:bCs/>
                <w:color w:val="000000"/>
                <w:kern w:val="0"/>
                <w:sz w:val="21"/>
                <w:szCs w:val="21"/>
              </w:rPr>
            </w:pPr>
            <w:r>
              <w:rPr>
                <w:rFonts w:cs="Times New Roman"/>
                <w:bCs/>
                <w:color w:val="000000"/>
                <w:kern w:val="0"/>
                <w:sz w:val="21"/>
                <w:szCs w:val="21"/>
              </w:rPr>
              <w:t>主体工程区</w:t>
            </w:r>
          </w:p>
        </w:tc>
        <w:tc>
          <w:tcPr>
            <w:tcW w:w="1137"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18645</w:t>
            </w:r>
          </w:p>
        </w:tc>
        <w:tc>
          <w:tcPr>
            <w:tcW w:w="1168"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500</w:t>
            </w:r>
          </w:p>
        </w:tc>
        <w:tc>
          <w:tcPr>
            <w:tcW w:w="1365"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18145</w:t>
            </w:r>
          </w:p>
        </w:tc>
        <w:tc>
          <w:tcPr>
            <w:tcW w:w="1659"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18145</w:t>
            </w:r>
          </w:p>
        </w:tc>
        <w:tc>
          <w:tcPr>
            <w:tcW w:w="1111"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18645</w:t>
            </w:r>
          </w:p>
        </w:tc>
        <w:tc>
          <w:tcPr>
            <w:tcW w:w="1321" w:type="dxa"/>
            <w:tcBorders>
              <w:top w:val="nil"/>
              <w:left w:val="nil"/>
              <w:bottom w:val="single" w:color="auto" w:sz="4" w:space="0"/>
              <w:right w:val="single" w:color="auto" w:sz="4" w:space="0"/>
            </w:tcBorders>
            <w:vAlign w:val="bottom"/>
          </w:tcPr>
          <w:p>
            <w:pPr>
              <w:jc w:val="center"/>
              <w:rPr>
                <w:rFonts w:cs="Times New Roman"/>
                <w:bCs/>
                <w:color w:val="000000"/>
                <w:kern w:val="0"/>
                <w:sz w:val="21"/>
                <w:szCs w:val="21"/>
              </w:rPr>
            </w:pPr>
            <w:r>
              <w:rPr>
                <w:rFonts w:hint="eastAsia" w:cs="Times New Roman"/>
                <w:bCs/>
                <w:color w:val="000000"/>
                <w:kern w:val="0"/>
                <w:sz w:val="21"/>
                <w:szCs w:val="21"/>
              </w:rPr>
              <w:t>100</w:t>
            </w:r>
          </w:p>
        </w:tc>
      </w:tr>
    </w:tbl>
    <w:p>
      <w:pPr>
        <w:pStyle w:val="4"/>
      </w:pPr>
      <w:bookmarkStart w:id="33" w:name="_Toc44344052"/>
      <w:r>
        <w:rPr>
          <w:rFonts w:hint="eastAsia"/>
        </w:rPr>
        <w:t>9.1.2水土流失总治理度</w:t>
      </w:r>
      <w:bookmarkEnd w:id="33"/>
    </w:p>
    <w:p>
      <w:pPr>
        <w:ind w:firstLine="480" w:firstLineChars="200"/>
        <w:rPr>
          <w:rFonts w:cs="Times New Roman"/>
        </w:rPr>
      </w:pPr>
      <w:r>
        <w:rPr>
          <w:rFonts w:hint="eastAsia" w:cs="Times New Roman"/>
        </w:rPr>
        <w:t>经调查核实，本工程水土流失面积18645m</w:t>
      </w:r>
      <w:r>
        <w:rPr>
          <w:rFonts w:hint="eastAsia" w:cs="Times New Roman"/>
          <w:vertAlign w:val="superscript"/>
        </w:rPr>
        <w:t>2</w:t>
      </w:r>
      <w:r>
        <w:rPr>
          <w:rFonts w:hint="eastAsia" w:cs="Times New Roman"/>
        </w:rPr>
        <w:t>，水土流失治理达标面积18645m</w:t>
      </w:r>
      <w:r>
        <w:rPr>
          <w:rFonts w:hint="eastAsia" w:cs="Times New Roman"/>
          <w:vertAlign w:val="superscript"/>
        </w:rPr>
        <w:t>2</w:t>
      </w:r>
      <w:r>
        <w:rPr>
          <w:rFonts w:hint="eastAsia" w:cs="Times New Roman"/>
        </w:rPr>
        <w:t>，水土流失总治理度为100％。</w:t>
      </w:r>
    </w:p>
    <w:p>
      <w:pPr>
        <w:ind w:firstLine="480" w:firstLineChars="200"/>
        <w:rPr>
          <w:rFonts w:cs="Times New Roman"/>
        </w:rPr>
      </w:pPr>
      <w:r>
        <w:rPr>
          <w:rFonts w:hint="eastAsia" w:cs="Times New Roman"/>
        </w:rPr>
        <w:t>本项目各分区的水土流失总治理度见表9-2。</w:t>
      </w:r>
    </w:p>
    <w:p>
      <w:pPr>
        <w:widowControl/>
        <w:jc w:val="center"/>
        <w:rPr>
          <w:rFonts w:cs="Times New Roman"/>
          <w:b/>
          <w:szCs w:val="24"/>
        </w:rPr>
      </w:pPr>
      <w:r>
        <w:rPr>
          <w:rFonts w:cs="Times New Roman"/>
          <w:b/>
          <w:szCs w:val="24"/>
        </w:rPr>
        <w:t>表</w:t>
      </w:r>
      <w:r>
        <w:rPr>
          <w:rFonts w:hint="eastAsia" w:cs="Times New Roman"/>
          <w:b/>
          <w:szCs w:val="24"/>
        </w:rPr>
        <w:t>9</w:t>
      </w:r>
      <w:r>
        <w:rPr>
          <w:rFonts w:cs="Times New Roman"/>
          <w:b/>
          <w:szCs w:val="24"/>
        </w:rPr>
        <w:t>-2 项目区的水土流失总治理度计算结果</w:t>
      </w:r>
    </w:p>
    <w:tbl>
      <w:tblPr>
        <w:tblStyle w:val="11"/>
        <w:tblW w:w="10052" w:type="dxa"/>
        <w:tblInd w:w="-601" w:type="dxa"/>
        <w:tblLayout w:type="fixed"/>
        <w:tblCellMar>
          <w:top w:w="0" w:type="dxa"/>
          <w:left w:w="108" w:type="dxa"/>
          <w:bottom w:w="0" w:type="dxa"/>
          <w:right w:w="108" w:type="dxa"/>
        </w:tblCellMar>
      </w:tblPr>
      <w:tblGrid>
        <w:gridCol w:w="1276"/>
        <w:gridCol w:w="1486"/>
        <w:gridCol w:w="1112"/>
        <w:gridCol w:w="1388"/>
        <w:gridCol w:w="1222"/>
        <w:gridCol w:w="1244"/>
        <w:gridCol w:w="1079"/>
        <w:gridCol w:w="1245"/>
      </w:tblGrid>
      <w:tr>
        <w:tblPrEx>
          <w:tblLayout w:type="fixed"/>
          <w:tblCellMar>
            <w:top w:w="0" w:type="dxa"/>
            <w:left w:w="108" w:type="dxa"/>
            <w:bottom w:w="0" w:type="dxa"/>
            <w:right w:w="108" w:type="dxa"/>
          </w:tblCellMar>
        </w:tblPrEx>
        <w:trPr>
          <w:trHeight w:val="64" w:hRule="atLeast"/>
        </w:trPr>
        <w:tc>
          <w:tcPr>
            <w:tcW w:w="12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防治分区</w:t>
            </w:r>
          </w:p>
        </w:tc>
        <w:tc>
          <w:tcPr>
            <w:tcW w:w="14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扰动面积（m</w:t>
            </w:r>
            <w:r>
              <w:rPr>
                <w:rFonts w:cs="Times New Roman"/>
                <w:b/>
                <w:bCs/>
                <w:color w:val="000000"/>
                <w:kern w:val="0"/>
                <w:sz w:val="21"/>
                <w:szCs w:val="21"/>
                <w:vertAlign w:val="superscript"/>
              </w:rPr>
              <w:t>2</w:t>
            </w:r>
            <w:r>
              <w:rPr>
                <w:rFonts w:cs="Times New Roman"/>
                <w:b/>
                <w:bCs/>
                <w:color w:val="000000"/>
                <w:kern w:val="0"/>
                <w:sz w:val="21"/>
                <w:szCs w:val="21"/>
              </w:rPr>
              <w:t>）</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水土流失面积（m</w:t>
            </w:r>
            <w:r>
              <w:rPr>
                <w:rFonts w:cs="Times New Roman"/>
                <w:b/>
                <w:bCs/>
                <w:color w:val="000000"/>
                <w:kern w:val="0"/>
                <w:sz w:val="21"/>
                <w:szCs w:val="21"/>
                <w:vertAlign w:val="superscript"/>
              </w:rPr>
              <w:t>2</w:t>
            </w:r>
            <w:r>
              <w:rPr>
                <w:rFonts w:cs="Times New Roman"/>
                <w:b/>
                <w:bCs/>
                <w:color w:val="000000"/>
                <w:kern w:val="0"/>
                <w:sz w:val="21"/>
                <w:szCs w:val="21"/>
              </w:rPr>
              <w:t>）</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建（构）筑物及场地硬化（m</w:t>
            </w:r>
            <w:r>
              <w:rPr>
                <w:rFonts w:cs="Times New Roman"/>
                <w:b/>
                <w:bCs/>
                <w:color w:val="000000"/>
                <w:kern w:val="0"/>
                <w:sz w:val="21"/>
                <w:szCs w:val="21"/>
                <w:vertAlign w:val="superscript"/>
              </w:rPr>
              <w:t>2</w:t>
            </w:r>
            <w:r>
              <w:rPr>
                <w:rFonts w:cs="Times New Roman"/>
                <w:b/>
                <w:bCs/>
                <w:color w:val="000000"/>
                <w:kern w:val="0"/>
                <w:sz w:val="21"/>
                <w:szCs w:val="21"/>
              </w:rPr>
              <w:t>）</w:t>
            </w:r>
          </w:p>
        </w:tc>
        <w:tc>
          <w:tcPr>
            <w:tcW w:w="3545" w:type="dxa"/>
            <w:gridSpan w:val="3"/>
            <w:tcBorders>
              <w:top w:val="single" w:color="auto" w:sz="4" w:space="0"/>
              <w:left w:val="nil"/>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水土流失治理面积（m</w:t>
            </w:r>
            <w:r>
              <w:rPr>
                <w:rFonts w:cs="Times New Roman"/>
                <w:b/>
                <w:bCs/>
                <w:color w:val="000000"/>
                <w:kern w:val="0"/>
                <w:sz w:val="21"/>
                <w:szCs w:val="21"/>
                <w:vertAlign w:val="superscript"/>
              </w:rPr>
              <w:t>2</w:t>
            </w:r>
            <w:r>
              <w:rPr>
                <w:rFonts w:cs="Times New Roman"/>
                <w:b/>
                <w:bCs/>
                <w:color w:val="000000"/>
                <w:kern w:val="0"/>
                <w:sz w:val="21"/>
                <w:szCs w:val="21"/>
              </w:rPr>
              <w:t>）</w:t>
            </w:r>
          </w:p>
        </w:tc>
        <w:tc>
          <w:tcPr>
            <w:tcW w:w="124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水土流失总治理度（%）</w:t>
            </w:r>
          </w:p>
        </w:tc>
      </w:tr>
      <w:tr>
        <w:tblPrEx>
          <w:tblLayout w:type="fixed"/>
          <w:tblCellMar>
            <w:top w:w="0" w:type="dxa"/>
            <w:left w:w="108" w:type="dxa"/>
            <w:bottom w:w="0" w:type="dxa"/>
            <w:right w:w="108" w:type="dxa"/>
          </w:tblCellMar>
        </w:tblPrEx>
        <w:trPr>
          <w:trHeight w:val="468" w:hRule="atLeast"/>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4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222"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植物措施治理达标面积</w:t>
            </w:r>
          </w:p>
        </w:tc>
        <w:tc>
          <w:tcPr>
            <w:tcW w:w="1244"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工程措施治理达标面积</w:t>
            </w:r>
          </w:p>
        </w:tc>
        <w:tc>
          <w:tcPr>
            <w:tcW w:w="1079" w:type="dxa"/>
            <w:vMerge w:val="restart"/>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cs="Times New Roman"/>
                <w:b/>
                <w:bCs/>
                <w:color w:val="000000"/>
                <w:kern w:val="0"/>
                <w:sz w:val="21"/>
                <w:szCs w:val="21"/>
              </w:rPr>
              <w:t>小计</w:t>
            </w:r>
          </w:p>
        </w:tc>
        <w:tc>
          <w:tcPr>
            <w:tcW w:w="124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r>
      <w:tr>
        <w:tblPrEx>
          <w:tblLayout w:type="fixed"/>
          <w:tblCellMar>
            <w:top w:w="0" w:type="dxa"/>
            <w:left w:w="108" w:type="dxa"/>
            <w:bottom w:w="0" w:type="dxa"/>
            <w:right w:w="108" w:type="dxa"/>
          </w:tblCellMar>
        </w:tblPrEx>
        <w:trPr>
          <w:trHeight w:val="468" w:hRule="atLeast"/>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48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222"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244"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24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r>
      <w:tr>
        <w:tblPrEx>
          <w:tblLayout w:type="fixed"/>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vAlign w:val="center"/>
          </w:tcPr>
          <w:p>
            <w:pPr>
              <w:widowControl/>
              <w:jc w:val="center"/>
              <w:rPr>
                <w:rFonts w:cs="Times New Roman"/>
                <w:color w:val="000000"/>
                <w:kern w:val="0"/>
                <w:sz w:val="21"/>
                <w:szCs w:val="21"/>
              </w:rPr>
            </w:pPr>
            <w:r>
              <w:rPr>
                <w:rFonts w:cs="Times New Roman"/>
                <w:color w:val="000000"/>
                <w:kern w:val="0"/>
                <w:sz w:val="21"/>
                <w:szCs w:val="21"/>
              </w:rPr>
              <w:t>主体工程区</w:t>
            </w:r>
          </w:p>
        </w:tc>
        <w:tc>
          <w:tcPr>
            <w:tcW w:w="1486"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18645</w:t>
            </w:r>
          </w:p>
        </w:tc>
        <w:tc>
          <w:tcPr>
            <w:tcW w:w="1112"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18645</w:t>
            </w:r>
          </w:p>
        </w:tc>
        <w:tc>
          <w:tcPr>
            <w:tcW w:w="1388"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18645</w:t>
            </w:r>
          </w:p>
        </w:tc>
        <w:tc>
          <w:tcPr>
            <w:tcW w:w="1222"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500</w:t>
            </w:r>
          </w:p>
        </w:tc>
        <w:tc>
          <w:tcPr>
            <w:tcW w:w="1244"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18145</w:t>
            </w:r>
          </w:p>
        </w:tc>
        <w:tc>
          <w:tcPr>
            <w:tcW w:w="1079" w:type="dxa"/>
            <w:tcBorders>
              <w:top w:val="nil"/>
              <w:left w:val="nil"/>
              <w:bottom w:val="single" w:color="auto" w:sz="4" w:space="0"/>
              <w:right w:val="single" w:color="auto" w:sz="4" w:space="0"/>
            </w:tcBorders>
            <w:vAlign w:val="center"/>
          </w:tcPr>
          <w:p>
            <w:pPr>
              <w:jc w:val="center"/>
              <w:rPr>
                <w:rFonts w:cs="Times New Roman"/>
                <w:sz w:val="21"/>
                <w:szCs w:val="21"/>
              </w:rPr>
            </w:pPr>
            <w:r>
              <w:rPr>
                <w:rFonts w:hint="eastAsia" w:cs="Times New Roman"/>
                <w:sz w:val="21"/>
                <w:szCs w:val="21"/>
              </w:rPr>
              <w:t>18645</w:t>
            </w:r>
          </w:p>
        </w:tc>
        <w:tc>
          <w:tcPr>
            <w:tcW w:w="1245"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100</w:t>
            </w:r>
          </w:p>
        </w:tc>
      </w:tr>
    </w:tbl>
    <w:p>
      <w:pPr>
        <w:pStyle w:val="4"/>
      </w:pPr>
      <w:bookmarkStart w:id="34" w:name="_Toc44344053"/>
      <w:r>
        <w:rPr>
          <w:rFonts w:hint="eastAsia"/>
        </w:rPr>
        <w:t>9.1.3拦渣率</w:t>
      </w:r>
      <w:bookmarkEnd w:id="34"/>
    </w:p>
    <w:p>
      <w:pPr>
        <w:ind w:firstLine="480" w:firstLineChars="200"/>
        <w:rPr>
          <w:rFonts w:cs="Times New Roman"/>
        </w:rPr>
      </w:pPr>
      <w:r>
        <w:rPr>
          <w:rFonts w:cs="Times New Roman"/>
        </w:rPr>
        <w:t>本项目总开挖土方量约</w:t>
      </w:r>
      <w:r>
        <w:rPr>
          <w:rFonts w:hint="eastAsia" w:cs="Times New Roman"/>
        </w:rPr>
        <w:t>1</w:t>
      </w:r>
      <w:r>
        <w:rPr>
          <w:rFonts w:cs="Times New Roman"/>
        </w:rPr>
        <w:t>万m</w:t>
      </w:r>
      <w:r>
        <w:rPr>
          <w:rFonts w:cs="Times New Roman"/>
          <w:vertAlign w:val="superscript"/>
        </w:rPr>
        <w:t>3</w:t>
      </w:r>
      <w:r>
        <w:rPr>
          <w:rFonts w:cs="Times New Roman"/>
        </w:rPr>
        <w:t>，回填土方量约0.</w:t>
      </w:r>
      <w:r>
        <w:rPr>
          <w:rFonts w:hint="eastAsia" w:cs="Times New Roman"/>
        </w:rPr>
        <w:t>4</w:t>
      </w:r>
      <w:r>
        <w:rPr>
          <w:rFonts w:cs="Times New Roman"/>
        </w:rPr>
        <w:t>万m</w:t>
      </w:r>
      <w:r>
        <w:rPr>
          <w:rFonts w:cs="Times New Roman"/>
          <w:vertAlign w:val="superscript"/>
        </w:rPr>
        <w:t>3</w:t>
      </w:r>
      <w:r>
        <w:rPr>
          <w:rFonts w:cs="Times New Roman"/>
        </w:rPr>
        <w:t>。</w:t>
      </w:r>
    </w:p>
    <w:p>
      <w:pPr>
        <w:ind w:firstLine="480" w:firstLineChars="200"/>
        <w:rPr>
          <w:rFonts w:cs="Times New Roman"/>
        </w:rPr>
      </w:pPr>
      <w:r>
        <w:rPr>
          <w:rFonts w:cs="Times New Roman"/>
        </w:rPr>
        <w:t>工程建设过程中，项目区土方随挖随弃，无临时堆土，且项目区内设置了临时排水沟、沉沙池及洗车池，土方运输过程中部分土方抛洒滴漏，本工程实际拦渣率为95%，达到方案目标值95%。</w:t>
      </w:r>
    </w:p>
    <w:p>
      <w:pPr>
        <w:pStyle w:val="4"/>
      </w:pPr>
      <w:bookmarkStart w:id="35" w:name="_Toc44344054"/>
      <w:r>
        <w:rPr>
          <w:rFonts w:hint="eastAsia"/>
        </w:rPr>
        <w:t>9.1.4土壤流失控制比</w:t>
      </w:r>
      <w:bookmarkEnd w:id="35"/>
    </w:p>
    <w:p>
      <w:pPr>
        <w:ind w:firstLine="480" w:firstLineChars="200"/>
        <w:rPr>
          <w:rFonts w:cs="Times New Roman"/>
        </w:rPr>
      </w:pPr>
      <w:r>
        <w:rPr>
          <w:rFonts w:hint="eastAsia" w:cs="Times New Roman"/>
        </w:rPr>
        <w:t>本项目自然恢复期未被占压或硬化的地表实施植物措施后的平均土壤侵蚀模数小于为200t/(km·a)，而项目所在区域容许土壤流失量为500t/(km·a)，计算得到土壤流失控制比大于2.5。</w:t>
      </w:r>
    </w:p>
    <w:p>
      <w:pPr>
        <w:pStyle w:val="4"/>
      </w:pPr>
      <w:bookmarkStart w:id="36" w:name="_Toc44344055"/>
      <w:r>
        <w:rPr>
          <w:rFonts w:hint="eastAsia"/>
        </w:rPr>
        <w:t>9.1.5林草植被恢复率</w:t>
      </w:r>
      <w:bookmarkEnd w:id="36"/>
    </w:p>
    <w:p>
      <w:pPr>
        <w:ind w:firstLine="480" w:firstLineChars="200"/>
      </w:pPr>
      <w:r>
        <w:rPr>
          <w:rFonts w:hint="eastAsia"/>
        </w:rPr>
        <w:t>由现场勘查结果可知，因机场工程的特性，项目区建成后无景观绿化，因此本项目无林草植被恢复率。</w:t>
      </w:r>
    </w:p>
    <w:p>
      <w:pPr>
        <w:ind w:firstLine="480" w:firstLineChars="200"/>
      </w:pPr>
      <w:r>
        <w:rPr>
          <w:rFonts w:hint="eastAsia"/>
        </w:rPr>
        <w:t>本项目各分区的林草植被恢复率见表9-3。</w:t>
      </w:r>
    </w:p>
    <w:p>
      <w:pPr>
        <w:widowControl/>
        <w:jc w:val="center"/>
        <w:rPr>
          <w:rFonts w:cs="Times New Roman"/>
          <w:b/>
          <w:szCs w:val="24"/>
        </w:rPr>
      </w:pPr>
      <w:r>
        <w:rPr>
          <w:rFonts w:hAnsi="仿宋" w:cs="Times New Roman"/>
          <w:b/>
          <w:szCs w:val="24"/>
        </w:rPr>
        <w:t>表</w:t>
      </w:r>
      <w:r>
        <w:rPr>
          <w:rFonts w:hint="eastAsia" w:cs="Times New Roman"/>
          <w:b/>
          <w:szCs w:val="24"/>
        </w:rPr>
        <w:t>9</w:t>
      </w:r>
      <w:r>
        <w:rPr>
          <w:rFonts w:cs="Times New Roman"/>
          <w:b/>
          <w:szCs w:val="24"/>
        </w:rPr>
        <w:t xml:space="preserve">-3 </w:t>
      </w:r>
      <w:r>
        <w:rPr>
          <w:rFonts w:hAnsi="仿宋" w:cs="Times New Roman"/>
          <w:b/>
          <w:szCs w:val="24"/>
        </w:rPr>
        <w:t>项目区的林草植被恢复率计算结果</w:t>
      </w:r>
    </w:p>
    <w:tbl>
      <w:tblPr>
        <w:tblStyle w:val="11"/>
        <w:tblW w:w="9498" w:type="dxa"/>
        <w:tblInd w:w="-459" w:type="dxa"/>
        <w:tblLayout w:type="fixed"/>
        <w:tblCellMar>
          <w:top w:w="0" w:type="dxa"/>
          <w:left w:w="108" w:type="dxa"/>
          <w:bottom w:w="0" w:type="dxa"/>
          <w:right w:w="108" w:type="dxa"/>
        </w:tblCellMar>
      </w:tblPr>
      <w:tblGrid>
        <w:gridCol w:w="1418"/>
        <w:gridCol w:w="2237"/>
        <w:gridCol w:w="1590"/>
        <w:gridCol w:w="1172"/>
        <w:gridCol w:w="1657"/>
        <w:gridCol w:w="1424"/>
      </w:tblGrid>
      <w:tr>
        <w:tblPrEx>
          <w:tblLayout w:type="fixed"/>
          <w:tblCellMar>
            <w:top w:w="0" w:type="dxa"/>
            <w:left w:w="108" w:type="dxa"/>
            <w:bottom w:w="0" w:type="dxa"/>
            <w:right w:w="108" w:type="dxa"/>
          </w:tblCellMar>
        </w:tblPrEx>
        <w:trPr>
          <w:trHeight w:val="315" w:hRule="atLeast"/>
        </w:trPr>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防治分区</w:t>
            </w:r>
          </w:p>
        </w:tc>
        <w:tc>
          <w:tcPr>
            <w:tcW w:w="2237"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项目区占地面积（</w:t>
            </w:r>
            <w:r>
              <w:rPr>
                <w:rFonts w:cs="Times New Roman"/>
                <w:b/>
                <w:bCs/>
                <w:color w:val="000000"/>
                <w:kern w:val="0"/>
                <w:sz w:val="21"/>
                <w:szCs w:val="21"/>
              </w:rPr>
              <w:t>m</w:t>
            </w:r>
            <w:r>
              <w:rPr>
                <w:rFonts w:cs="Times New Roman"/>
                <w:b/>
                <w:bCs/>
                <w:color w:val="000000"/>
                <w:kern w:val="0"/>
                <w:sz w:val="21"/>
                <w:szCs w:val="21"/>
                <w:vertAlign w:val="superscript"/>
              </w:rPr>
              <w:t>2</w:t>
            </w:r>
            <w:r>
              <w:rPr>
                <w:rFonts w:hAnsi="仿宋" w:cs="Times New Roman"/>
                <w:b/>
                <w:bCs/>
                <w:color w:val="000000"/>
                <w:kern w:val="0"/>
                <w:sz w:val="21"/>
                <w:szCs w:val="21"/>
              </w:rPr>
              <w:t>）</w:t>
            </w:r>
          </w:p>
        </w:tc>
        <w:tc>
          <w:tcPr>
            <w:tcW w:w="2762" w:type="dxa"/>
            <w:gridSpan w:val="2"/>
            <w:tcBorders>
              <w:top w:val="single" w:color="auto" w:sz="4" w:space="0"/>
              <w:left w:val="nil"/>
              <w:bottom w:val="single" w:color="auto" w:sz="4" w:space="0"/>
              <w:right w:val="single" w:color="000000"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植物面积（</w:t>
            </w:r>
            <w:r>
              <w:rPr>
                <w:rFonts w:cs="Times New Roman"/>
                <w:b/>
                <w:bCs/>
                <w:color w:val="000000"/>
                <w:kern w:val="0"/>
                <w:sz w:val="21"/>
                <w:szCs w:val="21"/>
              </w:rPr>
              <w:t>m</w:t>
            </w:r>
            <w:r>
              <w:rPr>
                <w:rFonts w:cs="Times New Roman"/>
                <w:b/>
                <w:bCs/>
                <w:color w:val="000000"/>
                <w:kern w:val="0"/>
                <w:sz w:val="21"/>
                <w:szCs w:val="21"/>
                <w:vertAlign w:val="superscript"/>
              </w:rPr>
              <w:t>2</w:t>
            </w:r>
            <w:r>
              <w:rPr>
                <w:rFonts w:hAnsi="仿宋" w:cs="Times New Roman"/>
                <w:b/>
                <w:bCs/>
                <w:color w:val="000000"/>
                <w:kern w:val="0"/>
                <w:sz w:val="21"/>
                <w:szCs w:val="21"/>
              </w:rPr>
              <w:t>）</w:t>
            </w:r>
          </w:p>
        </w:tc>
        <w:tc>
          <w:tcPr>
            <w:tcW w:w="165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植被恢复率（</w:t>
            </w:r>
            <w:r>
              <w:rPr>
                <w:rFonts w:cs="Times New Roman"/>
                <w:b/>
                <w:bCs/>
                <w:color w:val="000000"/>
                <w:kern w:val="0"/>
                <w:sz w:val="21"/>
                <w:szCs w:val="21"/>
              </w:rPr>
              <w:t>%</w:t>
            </w:r>
            <w:r>
              <w:rPr>
                <w:rFonts w:hAnsi="仿宋" w:cs="Times New Roman"/>
                <w:b/>
                <w:bCs/>
                <w:color w:val="000000"/>
                <w:kern w:val="0"/>
                <w:sz w:val="21"/>
                <w:szCs w:val="21"/>
              </w:rPr>
              <w:t>）</w:t>
            </w:r>
          </w:p>
        </w:tc>
        <w:tc>
          <w:tcPr>
            <w:tcW w:w="142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林草覆盖率（</w:t>
            </w:r>
            <w:r>
              <w:rPr>
                <w:rFonts w:cs="Times New Roman"/>
                <w:b/>
                <w:bCs/>
                <w:color w:val="000000"/>
                <w:kern w:val="0"/>
                <w:sz w:val="21"/>
                <w:szCs w:val="21"/>
              </w:rPr>
              <w:t>%</w:t>
            </w:r>
            <w:r>
              <w:rPr>
                <w:rFonts w:hAnsi="仿宋" w:cs="Times New Roman"/>
                <w:b/>
                <w:bCs/>
                <w:color w:val="000000"/>
                <w:kern w:val="0"/>
                <w:sz w:val="21"/>
                <w:szCs w:val="21"/>
              </w:rPr>
              <w:t>）</w:t>
            </w:r>
          </w:p>
        </w:tc>
      </w:tr>
      <w:tr>
        <w:tblPrEx>
          <w:tblLayout w:type="fixed"/>
          <w:tblCellMar>
            <w:top w:w="0" w:type="dxa"/>
            <w:left w:w="108" w:type="dxa"/>
            <w:bottom w:w="0" w:type="dxa"/>
            <w:right w:w="108" w:type="dxa"/>
          </w:tblCellMar>
        </w:tblPrEx>
        <w:trPr>
          <w:trHeight w:val="64" w:hRule="atLeast"/>
        </w:trPr>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2237"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cs="Times New Roman"/>
                <w:b/>
                <w:bCs/>
                <w:color w:val="000000"/>
                <w:kern w:val="0"/>
                <w:sz w:val="21"/>
                <w:szCs w:val="21"/>
              </w:rPr>
            </w:pPr>
          </w:p>
        </w:tc>
        <w:tc>
          <w:tcPr>
            <w:tcW w:w="1590" w:type="dxa"/>
            <w:tcBorders>
              <w:top w:val="nil"/>
              <w:left w:val="nil"/>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可绿化面积（</w:t>
            </w:r>
            <w:r>
              <w:rPr>
                <w:rFonts w:cs="Times New Roman"/>
                <w:b/>
                <w:bCs/>
                <w:color w:val="000000"/>
                <w:kern w:val="0"/>
                <w:sz w:val="21"/>
                <w:szCs w:val="21"/>
              </w:rPr>
              <w:t>m</w:t>
            </w:r>
            <w:r>
              <w:rPr>
                <w:rFonts w:cs="Times New Roman"/>
                <w:b/>
                <w:bCs/>
                <w:color w:val="000000"/>
                <w:kern w:val="0"/>
                <w:sz w:val="21"/>
                <w:szCs w:val="21"/>
                <w:vertAlign w:val="superscript"/>
              </w:rPr>
              <w:t>2</w:t>
            </w:r>
            <w:r>
              <w:rPr>
                <w:rFonts w:hAnsi="仿宋" w:cs="Times New Roman"/>
                <w:b/>
                <w:bCs/>
                <w:color w:val="000000"/>
                <w:kern w:val="0"/>
                <w:sz w:val="21"/>
                <w:szCs w:val="21"/>
              </w:rPr>
              <w:t>）</w:t>
            </w:r>
          </w:p>
        </w:tc>
        <w:tc>
          <w:tcPr>
            <w:tcW w:w="1172" w:type="dxa"/>
            <w:tcBorders>
              <w:top w:val="nil"/>
              <w:left w:val="nil"/>
              <w:bottom w:val="single" w:color="auto" w:sz="4" w:space="0"/>
              <w:right w:val="single" w:color="auto" w:sz="4" w:space="0"/>
            </w:tcBorders>
            <w:vAlign w:val="center"/>
          </w:tcPr>
          <w:p>
            <w:pPr>
              <w:widowControl/>
              <w:jc w:val="center"/>
              <w:rPr>
                <w:rFonts w:cs="Times New Roman"/>
                <w:b/>
                <w:bCs/>
                <w:color w:val="000000"/>
                <w:kern w:val="0"/>
                <w:sz w:val="21"/>
                <w:szCs w:val="21"/>
              </w:rPr>
            </w:pPr>
            <w:r>
              <w:rPr>
                <w:rFonts w:hAnsi="仿宋" w:cs="Times New Roman"/>
                <w:b/>
                <w:bCs/>
                <w:color w:val="000000"/>
                <w:kern w:val="0"/>
                <w:sz w:val="21"/>
                <w:szCs w:val="21"/>
              </w:rPr>
              <w:t>绿化面积</w:t>
            </w:r>
          </w:p>
          <w:p>
            <w:pPr>
              <w:widowControl/>
              <w:jc w:val="center"/>
              <w:rPr>
                <w:rFonts w:cs="Times New Roman"/>
                <w:b/>
                <w:bCs/>
                <w:color w:val="000000"/>
                <w:kern w:val="0"/>
                <w:sz w:val="21"/>
                <w:szCs w:val="21"/>
              </w:rPr>
            </w:pPr>
            <w:r>
              <w:rPr>
                <w:rFonts w:hAnsi="仿宋" w:cs="Times New Roman"/>
                <w:b/>
                <w:bCs/>
                <w:color w:val="000000"/>
                <w:kern w:val="0"/>
                <w:sz w:val="21"/>
                <w:szCs w:val="21"/>
              </w:rPr>
              <w:t>（</w:t>
            </w:r>
            <w:r>
              <w:rPr>
                <w:rFonts w:cs="Times New Roman"/>
                <w:b/>
                <w:bCs/>
                <w:color w:val="000000"/>
                <w:kern w:val="0"/>
                <w:sz w:val="21"/>
                <w:szCs w:val="21"/>
              </w:rPr>
              <w:t>hm</w:t>
            </w:r>
            <w:r>
              <w:rPr>
                <w:rFonts w:cs="Times New Roman"/>
                <w:b/>
                <w:bCs/>
                <w:color w:val="000000"/>
                <w:kern w:val="0"/>
                <w:sz w:val="21"/>
                <w:szCs w:val="21"/>
                <w:vertAlign w:val="superscript"/>
              </w:rPr>
              <w:t>2</w:t>
            </w:r>
            <w:r>
              <w:rPr>
                <w:rFonts w:hAnsi="仿宋" w:cs="Times New Roman"/>
                <w:b/>
                <w:bCs/>
                <w:color w:val="000000"/>
                <w:kern w:val="0"/>
                <w:sz w:val="21"/>
                <w:szCs w:val="21"/>
              </w:rPr>
              <w:t>）</w:t>
            </w:r>
          </w:p>
        </w:tc>
        <w:tc>
          <w:tcPr>
            <w:tcW w:w="165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c>
          <w:tcPr>
            <w:tcW w:w="142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b/>
                <w:bCs/>
                <w:color w:val="000000"/>
                <w:kern w:val="0"/>
                <w:sz w:val="21"/>
                <w:szCs w:val="21"/>
              </w:rPr>
            </w:pPr>
          </w:p>
        </w:tc>
      </w:tr>
      <w:tr>
        <w:tblPrEx>
          <w:tblLayout w:type="fixed"/>
          <w:tblCellMar>
            <w:top w:w="0" w:type="dxa"/>
            <w:left w:w="108" w:type="dxa"/>
            <w:bottom w:w="0" w:type="dxa"/>
            <w:right w:w="108" w:type="dxa"/>
          </w:tblCellMar>
        </w:tblPrEx>
        <w:trPr>
          <w:trHeight w:val="285" w:hRule="atLeast"/>
        </w:trPr>
        <w:tc>
          <w:tcPr>
            <w:tcW w:w="1418" w:type="dxa"/>
            <w:tcBorders>
              <w:top w:val="nil"/>
              <w:left w:val="single" w:color="auto" w:sz="4" w:space="0"/>
              <w:bottom w:val="single" w:color="auto" w:sz="4" w:space="0"/>
              <w:right w:val="single" w:color="auto" w:sz="4" w:space="0"/>
            </w:tcBorders>
            <w:vAlign w:val="center"/>
          </w:tcPr>
          <w:p>
            <w:pPr>
              <w:widowControl/>
              <w:jc w:val="center"/>
              <w:rPr>
                <w:rFonts w:cs="Times New Roman"/>
                <w:color w:val="000000"/>
                <w:kern w:val="0"/>
                <w:sz w:val="21"/>
                <w:szCs w:val="21"/>
              </w:rPr>
            </w:pPr>
            <w:r>
              <w:rPr>
                <w:rFonts w:hAnsi="仿宋" w:cs="Times New Roman"/>
                <w:color w:val="000000"/>
                <w:kern w:val="0"/>
                <w:sz w:val="21"/>
                <w:szCs w:val="21"/>
              </w:rPr>
              <w:t>主体工程区</w:t>
            </w:r>
          </w:p>
        </w:tc>
        <w:tc>
          <w:tcPr>
            <w:tcW w:w="2237"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sz w:val="21"/>
                <w:szCs w:val="21"/>
              </w:rPr>
              <w:t>18645</w:t>
            </w:r>
          </w:p>
        </w:tc>
        <w:tc>
          <w:tcPr>
            <w:tcW w:w="1590"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0</w:t>
            </w:r>
          </w:p>
        </w:tc>
        <w:tc>
          <w:tcPr>
            <w:tcW w:w="1172"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0</w:t>
            </w:r>
          </w:p>
        </w:tc>
        <w:tc>
          <w:tcPr>
            <w:tcW w:w="1657"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0</w:t>
            </w:r>
          </w:p>
        </w:tc>
        <w:tc>
          <w:tcPr>
            <w:tcW w:w="1424" w:type="dxa"/>
            <w:tcBorders>
              <w:top w:val="nil"/>
              <w:left w:val="nil"/>
              <w:bottom w:val="single" w:color="auto" w:sz="4" w:space="0"/>
              <w:right w:val="single" w:color="auto" w:sz="4" w:space="0"/>
            </w:tcBorders>
            <w:vAlign w:val="center"/>
          </w:tcPr>
          <w:p>
            <w:pPr>
              <w:jc w:val="center"/>
              <w:rPr>
                <w:rFonts w:cs="Times New Roman"/>
                <w:color w:val="000000"/>
                <w:sz w:val="21"/>
                <w:szCs w:val="21"/>
              </w:rPr>
            </w:pPr>
            <w:r>
              <w:rPr>
                <w:rFonts w:hint="eastAsia" w:cs="Times New Roman"/>
                <w:color w:val="000000"/>
                <w:sz w:val="21"/>
                <w:szCs w:val="21"/>
              </w:rPr>
              <w:t>0</w:t>
            </w:r>
          </w:p>
        </w:tc>
      </w:tr>
    </w:tbl>
    <w:p>
      <w:pPr>
        <w:pStyle w:val="4"/>
      </w:pPr>
      <w:bookmarkStart w:id="37" w:name="_Toc44344056"/>
      <w:r>
        <w:rPr>
          <w:rFonts w:hint="eastAsia"/>
        </w:rPr>
        <w:t>9.1.6林草覆盖率</w:t>
      </w:r>
      <w:bookmarkEnd w:id="37"/>
    </w:p>
    <w:p>
      <w:pPr>
        <w:ind w:firstLine="480" w:firstLineChars="200"/>
      </w:pPr>
      <w:r>
        <w:rPr>
          <w:rFonts w:hint="eastAsia"/>
        </w:rPr>
        <w:t>林草覆盖率是指项目建设区内的林草面积占项目建设区面积的百分比。本项目建成后由于机场工程特性，后期无永久绿化措施，因此本项目林草覆盖率为0，地面均采用硬化地面。</w:t>
      </w:r>
    </w:p>
    <w:p>
      <w:pPr>
        <w:ind w:firstLine="480" w:firstLineChars="200"/>
      </w:pPr>
      <w:r>
        <w:rPr>
          <w:rFonts w:hint="eastAsia"/>
        </w:rPr>
        <w:t>本项目各分区的林草覆盖率见表9-3。</w:t>
      </w:r>
    </w:p>
    <w:p>
      <w:pPr>
        <w:pStyle w:val="3"/>
      </w:pPr>
      <w:bookmarkStart w:id="38" w:name="_Toc44344057"/>
      <w:r>
        <w:rPr>
          <w:rFonts w:hint="eastAsia"/>
        </w:rPr>
        <w:t>9.2综合评价</w:t>
      </w:r>
      <w:bookmarkEnd w:id="38"/>
    </w:p>
    <w:p>
      <w:pPr>
        <w:ind w:firstLine="480" w:firstLineChars="200"/>
      </w:pPr>
      <w:r>
        <w:rPr>
          <w:rFonts w:hint="eastAsia"/>
        </w:rPr>
        <w:t>工程施工过程中，本工程的水土保持工程基本与主体工程同步建设，经过建设各方的精心组织、科学施工、规范管理、重点防护，对防治责任范围内的水土流失进行了全面、系统的治理，各项工程措施和植物措施施工质量均较好，目前各分区防治措施的运行效果较好，施工区的植被得到了较好的恢复，水土流失得到了有效控制，项目区的水土流失强度由中强度下降到轻度或微度，其中扰动土地整治率、水土流失总治理度、土壤流失控制比、拦渣率，林草植被恢复率、林草覆盖率由于工程特殊性未能达到《开发建设项目水土流失防治标准》（GB50434-2008）一级防治标准的要求。详情见表9-4。</w:t>
      </w:r>
    </w:p>
    <w:p>
      <w:pPr>
        <w:ind w:firstLine="480" w:firstLineChars="200"/>
      </w:pPr>
    </w:p>
    <w:p>
      <w:pPr>
        <w:widowControl/>
        <w:jc w:val="center"/>
        <w:rPr>
          <w:rFonts w:cs="Times New Roman"/>
          <w:b/>
          <w:szCs w:val="24"/>
        </w:rPr>
      </w:pPr>
      <w:r>
        <w:rPr>
          <w:rFonts w:hAnsi="仿宋" w:cs="Times New Roman"/>
          <w:b/>
          <w:szCs w:val="24"/>
        </w:rPr>
        <w:t>表</w:t>
      </w:r>
      <w:r>
        <w:rPr>
          <w:rFonts w:hint="eastAsia" w:cs="Times New Roman"/>
          <w:b/>
          <w:szCs w:val="24"/>
        </w:rPr>
        <w:t>9</w:t>
      </w:r>
      <w:r>
        <w:rPr>
          <w:rFonts w:cs="Times New Roman"/>
          <w:b/>
          <w:szCs w:val="24"/>
        </w:rPr>
        <w:t>-</w:t>
      </w:r>
      <w:r>
        <w:rPr>
          <w:rFonts w:hint="eastAsia" w:cs="Times New Roman"/>
          <w:b/>
          <w:szCs w:val="24"/>
        </w:rPr>
        <w:t>4</w:t>
      </w:r>
      <w:r>
        <w:rPr>
          <w:rFonts w:hAnsi="仿宋" w:cs="Times New Roman"/>
          <w:b/>
          <w:szCs w:val="24"/>
        </w:rPr>
        <w:t>本项目水土流失防治效果</w:t>
      </w:r>
    </w:p>
    <w:tbl>
      <w:tblPr>
        <w:tblStyle w:val="11"/>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7"/>
        <w:gridCol w:w="1937"/>
        <w:gridCol w:w="1937"/>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3797" w:type="dxa"/>
            <w:tcBorders>
              <w:top w:val="single" w:color="auto" w:sz="4" w:space="0"/>
            </w:tcBorders>
            <w:vAlign w:val="center"/>
          </w:tcPr>
          <w:p>
            <w:pPr>
              <w:spacing w:line="240" w:lineRule="auto"/>
              <w:jc w:val="center"/>
              <w:rPr>
                <w:rFonts w:cs="Times New Roman"/>
                <w:b/>
                <w:sz w:val="21"/>
                <w:szCs w:val="21"/>
              </w:rPr>
            </w:pPr>
            <w:r>
              <w:rPr>
                <w:rFonts w:hAnsi="仿宋" w:cs="Times New Roman"/>
                <w:b/>
                <w:sz w:val="21"/>
                <w:szCs w:val="21"/>
              </w:rPr>
              <w:t>防治指标</w:t>
            </w:r>
          </w:p>
        </w:tc>
        <w:tc>
          <w:tcPr>
            <w:tcW w:w="1937" w:type="dxa"/>
            <w:tcBorders>
              <w:top w:val="single" w:color="auto" w:sz="4" w:space="0"/>
            </w:tcBorders>
            <w:vAlign w:val="center"/>
          </w:tcPr>
          <w:p>
            <w:pPr>
              <w:spacing w:line="240" w:lineRule="auto"/>
              <w:jc w:val="center"/>
              <w:rPr>
                <w:rFonts w:cs="Times New Roman"/>
                <w:b/>
                <w:sz w:val="21"/>
                <w:szCs w:val="21"/>
              </w:rPr>
            </w:pPr>
            <w:r>
              <w:rPr>
                <w:rFonts w:hAnsi="仿宋" w:cs="Times New Roman"/>
                <w:b/>
                <w:sz w:val="21"/>
                <w:szCs w:val="21"/>
              </w:rPr>
              <w:t>方案设计值</w:t>
            </w:r>
          </w:p>
        </w:tc>
        <w:tc>
          <w:tcPr>
            <w:tcW w:w="1937" w:type="dxa"/>
            <w:tcBorders>
              <w:top w:val="single" w:color="auto" w:sz="4" w:space="0"/>
            </w:tcBorders>
            <w:vAlign w:val="center"/>
          </w:tcPr>
          <w:p>
            <w:pPr>
              <w:spacing w:line="240" w:lineRule="auto"/>
              <w:jc w:val="center"/>
              <w:rPr>
                <w:rFonts w:cs="Times New Roman"/>
                <w:b/>
                <w:sz w:val="21"/>
                <w:szCs w:val="21"/>
              </w:rPr>
            </w:pPr>
            <w:r>
              <w:rPr>
                <w:rFonts w:hAnsi="仿宋" w:cs="Times New Roman"/>
                <w:b/>
                <w:sz w:val="21"/>
                <w:szCs w:val="21"/>
              </w:rPr>
              <w:t>实际目标值</w:t>
            </w:r>
          </w:p>
        </w:tc>
        <w:tc>
          <w:tcPr>
            <w:tcW w:w="1616" w:type="dxa"/>
            <w:tcBorders>
              <w:top w:val="single" w:color="auto" w:sz="4" w:space="0"/>
            </w:tcBorders>
            <w:vAlign w:val="center"/>
          </w:tcPr>
          <w:p>
            <w:pPr>
              <w:spacing w:line="240" w:lineRule="auto"/>
              <w:jc w:val="center"/>
              <w:rPr>
                <w:rFonts w:cs="Times New Roman"/>
                <w:b/>
                <w:sz w:val="21"/>
                <w:szCs w:val="21"/>
              </w:rPr>
            </w:pPr>
            <w:r>
              <w:rPr>
                <w:rFonts w:hAnsi="仿宋" w:cs="Times New Roman"/>
                <w:b/>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3797" w:type="dxa"/>
            <w:vAlign w:val="center"/>
          </w:tcPr>
          <w:p>
            <w:pPr>
              <w:spacing w:line="240" w:lineRule="auto"/>
              <w:jc w:val="center"/>
              <w:rPr>
                <w:rFonts w:cs="Times New Roman"/>
                <w:sz w:val="21"/>
                <w:szCs w:val="21"/>
              </w:rPr>
            </w:pPr>
            <w:r>
              <w:rPr>
                <w:rFonts w:hAnsi="仿宋" w:cs="Times New Roman"/>
                <w:sz w:val="21"/>
                <w:szCs w:val="21"/>
              </w:rPr>
              <w:t>扰动土地整治率（</w:t>
            </w:r>
            <w:r>
              <w:rPr>
                <w:rFonts w:cs="Times New Roman"/>
                <w:sz w:val="21"/>
                <w:szCs w:val="21"/>
              </w:rPr>
              <w:t>%</w:t>
            </w:r>
            <w:r>
              <w:rPr>
                <w:rFonts w:hAnsi="仿宋" w:cs="Times New Roman"/>
                <w:sz w:val="21"/>
                <w:szCs w:val="21"/>
              </w:rPr>
              <w:t>）</w:t>
            </w:r>
          </w:p>
        </w:tc>
        <w:tc>
          <w:tcPr>
            <w:tcW w:w="1937" w:type="dxa"/>
            <w:vAlign w:val="center"/>
          </w:tcPr>
          <w:p>
            <w:pPr>
              <w:adjustRightInd w:val="0"/>
              <w:snapToGrid w:val="0"/>
              <w:spacing w:line="240" w:lineRule="auto"/>
              <w:jc w:val="center"/>
              <w:rPr>
                <w:rFonts w:cs="Times New Roman"/>
                <w:sz w:val="21"/>
                <w:szCs w:val="21"/>
              </w:rPr>
            </w:pPr>
            <w:r>
              <w:rPr>
                <w:rFonts w:hint="eastAsia" w:cs="Times New Roman"/>
                <w:sz w:val="21"/>
                <w:szCs w:val="21"/>
              </w:rPr>
              <w:t>95</w:t>
            </w:r>
          </w:p>
        </w:tc>
        <w:tc>
          <w:tcPr>
            <w:tcW w:w="1937" w:type="dxa"/>
            <w:vAlign w:val="center"/>
          </w:tcPr>
          <w:p>
            <w:pPr>
              <w:spacing w:line="240" w:lineRule="auto"/>
              <w:jc w:val="center"/>
              <w:rPr>
                <w:rFonts w:cs="Times New Roman"/>
                <w:sz w:val="21"/>
                <w:szCs w:val="21"/>
              </w:rPr>
            </w:pPr>
            <w:r>
              <w:rPr>
                <w:rFonts w:hint="eastAsia" w:cs="Times New Roman"/>
                <w:sz w:val="21"/>
                <w:szCs w:val="21"/>
              </w:rPr>
              <w:t>100</w:t>
            </w:r>
          </w:p>
        </w:tc>
        <w:tc>
          <w:tcPr>
            <w:tcW w:w="1616" w:type="dxa"/>
            <w:vAlign w:val="center"/>
          </w:tcPr>
          <w:p>
            <w:pPr>
              <w:spacing w:line="240" w:lineRule="auto"/>
              <w:jc w:val="center"/>
              <w:rPr>
                <w:rFonts w:cs="Times New Roman"/>
                <w:sz w:val="21"/>
                <w:szCs w:val="21"/>
              </w:rPr>
            </w:pPr>
            <w:r>
              <w:rPr>
                <w:rFonts w:hAnsi="仿宋"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3797" w:type="dxa"/>
            <w:vAlign w:val="center"/>
          </w:tcPr>
          <w:p>
            <w:pPr>
              <w:spacing w:line="240" w:lineRule="auto"/>
              <w:jc w:val="center"/>
              <w:rPr>
                <w:rFonts w:cs="Times New Roman"/>
                <w:sz w:val="21"/>
                <w:szCs w:val="21"/>
              </w:rPr>
            </w:pPr>
            <w:r>
              <w:rPr>
                <w:rFonts w:hAnsi="仿宋" w:cs="Times New Roman"/>
                <w:sz w:val="21"/>
                <w:szCs w:val="21"/>
              </w:rPr>
              <w:t>水土流失总治理度（</w:t>
            </w:r>
            <w:r>
              <w:rPr>
                <w:rFonts w:cs="Times New Roman"/>
                <w:sz w:val="21"/>
                <w:szCs w:val="21"/>
              </w:rPr>
              <w:t>%</w:t>
            </w:r>
            <w:r>
              <w:rPr>
                <w:rFonts w:hAnsi="仿宋" w:cs="Times New Roman"/>
                <w:sz w:val="21"/>
                <w:szCs w:val="21"/>
              </w:rPr>
              <w:t>）</w:t>
            </w:r>
          </w:p>
        </w:tc>
        <w:tc>
          <w:tcPr>
            <w:tcW w:w="1937" w:type="dxa"/>
            <w:vAlign w:val="center"/>
          </w:tcPr>
          <w:p>
            <w:pPr>
              <w:adjustRightInd w:val="0"/>
              <w:snapToGrid w:val="0"/>
              <w:spacing w:line="240" w:lineRule="auto"/>
              <w:jc w:val="center"/>
              <w:rPr>
                <w:rFonts w:cs="Times New Roman"/>
                <w:sz w:val="21"/>
                <w:szCs w:val="21"/>
              </w:rPr>
            </w:pPr>
            <w:r>
              <w:rPr>
                <w:rFonts w:hint="eastAsia" w:cs="Times New Roman"/>
                <w:sz w:val="21"/>
                <w:szCs w:val="21"/>
              </w:rPr>
              <w:t>98</w:t>
            </w:r>
          </w:p>
        </w:tc>
        <w:tc>
          <w:tcPr>
            <w:tcW w:w="1937" w:type="dxa"/>
            <w:vAlign w:val="center"/>
          </w:tcPr>
          <w:p>
            <w:pPr>
              <w:spacing w:line="240" w:lineRule="auto"/>
              <w:jc w:val="center"/>
              <w:rPr>
                <w:rFonts w:cs="Times New Roman"/>
                <w:sz w:val="21"/>
                <w:szCs w:val="21"/>
              </w:rPr>
            </w:pPr>
            <w:r>
              <w:rPr>
                <w:rFonts w:hint="eastAsia" w:cs="Times New Roman"/>
                <w:sz w:val="21"/>
                <w:szCs w:val="21"/>
              </w:rPr>
              <w:t>100</w:t>
            </w:r>
          </w:p>
        </w:tc>
        <w:tc>
          <w:tcPr>
            <w:tcW w:w="1616" w:type="dxa"/>
            <w:vAlign w:val="center"/>
          </w:tcPr>
          <w:p>
            <w:pPr>
              <w:spacing w:line="240" w:lineRule="auto"/>
              <w:jc w:val="center"/>
              <w:rPr>
                <w:rFonts w:cs="Times New Roman"/>
                <w:sz w:val="21"/>
                <w:szCs w:val="21"/>
              </w:rPr>
            </w:pPr>
            <w:r>
              <w:rPr>
                <w:rFonts w:hAnsi="仿宋"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3797" w:type="dxa"/>
            <w:vAlign w:val="center"/>
          </w:tcPr>
          <w:p>
            <w:pPr>
              <w:spacing w:line="240" w:lineRule="auto"/>
              <w:jc w:val="center"/>
              <w:rPr>
                <w:rFonts w:cs="Times New Roman"/>
                <w:sz w:val="21"/>
                <w:szCs w:val="21"/>
              </w:rPr>
            </w:pPr>
            <w:r>
              <w:rPr>
                <w:rFonts w:hAnsi="仿宋" w:cs="Times New Roman"/>
                <w:sz w:val="21"/>
                <w:szCs w:val="21"/>
              </w:rPr>
              <w:t>土壤流失控制比</w:t>
            </w:r>
          </w:p>
        </w:tc>
        <w:tc>
          <w:tcPr>
            <w:tcW w:w="1937" w:type="dxa"/>
            <w:vAlign w:val="center"/>
          </w:tcPr>
          <w:p>
            <w:pPr>
              <w:adjustRightInd w:val="0"/>
              <w:snapToGrid w:val="0"/>
              <w:spacing w:line="240" w:lineRule="auto"/>
              <w:jc w:val="center"/>
              <w:rPr>
                <w:rFonts w:cs="Times New Roman"/>
                <w:sz w:val="21"/>
                <w:szCs w:val="21"/>
              </w:rPr>
            </w:pPr>
            <w:r>
              <w:rPr>
                <w:rFonts w:cs="Times New Roman"/>
                <w:sz w:val="21"/>
                <w:szCs w:val="21"/>
              </w:rPr>
              <w:t>2.5</w:t>
            </w:r>
          </w:p>
        </w:tc>
        <w:tc>
          <w:tcPr>
            <w:tcW w:w="1937" w:type="dxa"/>
            <w:vAlign w:val="center"/>
          </w:tcPr>
          <w:p>
            <w:pPr>
              <w:spacing w:line="240" w:lineRule="auto"/>
              <w:jc w:val="center"/>
              <w:rPr>
                <w:rFonts w:cs="Times New Roman"/>
                <w:sz w:val="21"/>
                <w:szCs w:val="21"/>
              </w:rPr>
            </w:pPr>
            <w:r>
              <w:rPr>
                <w:rFonts w:cs="Times New Roman"/>
                <w:sz w:val="21"/>
                <w:szCs w:val="21"/>
              </w:rPr>
              <w:t>2.5</w:t>
            </w:r>
          </w:p>
        </w:tc>
        <w:tc>
          <w:tcPr>
            <w:tcW w:w="1616" w:type="dxa"/>
            <w:vAlign w:val="center"/>
          </w:tcPr>
          <w:p>
            <w:pPr>
              <w:spacing w:line="240" w:lineRule="auto"/>
              <w:jc w:val="center"/>
              <w:rPr>
                <w:rFonts w:cs="Times New Roman"/>
                <w:sz w:val="21"/>
                <w:szCs w:val="21"/>
              </w:rPr>
            </w:pPr>
            <w:r>
              <w:rPr>
                <w:rFonts w:hAnsi="仿宋"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3797" w:type="dxa"/>
            <w:vAlign w:val="center"/>
          </w:tcPr>
          <w:p>
            <w:pPr>
              <w:spacing w:line="240" w:lineRule="auto"/>
              <w:jc w:val="center"/>
              <w:rPr>
                <w:rFonts w:cs="Times New Roman"/>
                <w:sz w:val="21"/>
                <w:szCs w:val="21"/>
              </w:rPr>
            </w:pPr>
            <w:r>
              <w:rPr>
                <w:rFonts w:hAnsi="仿宋" w:cs="Times New Roman"/>
                <w:sz w:val="21"/>
                <w:szCs w:val="21"/>
              </w:rPr>
              <w:t>拦渣率（</w:t>
            </w:r>
            <w:r>
              <w:rPr>
                <w:rFonts w:cs="Times New Roman"/>
                <w:sz w:val="21"/>
                <w:szCs w:val="21"/>
              </w:rPr>
              <w:t>%</w:t>
            </w:r>
            <w:r>
              <w:rPr>
                <w:rFonts w:hAnsi="仿宋" w:cs="Times New Roman"/>
                <w:sz w:val="21"/>
                <w:szCs w:val="21"/>
              </w:rPr>
              <w:t>）</w:t>
            </w:r>
          </w:p>
        </w:tc>
        <w:tc>
          <w:tcPr>
            <w:tcW w:w="1937" w:type="dxa"/>
            <w:vAlign w:val="center"/>
          </w:tcPr>
          <w:p>
            <w:pPr>
              <w:adjustRightInd w:val="0"/>
              <w:snapToGrid w:val="0"/>
              <w:spacing w:line="240" w:lineRule="auto"/>
              <w:jc w:val="center"/>
              <w:rPr>
                <w:rFonts w:cs="Times New Roman"/>
                <w:sz w:val="21"/>
                <w:szCs w:val="21"/>
              </w:rPr>
            </w:pPr>
            <w:r>
              <w:rPr>
                <w:rFonts w:hint="eastAsia" w:cs="Times New Roman"/>
                <w:sz w:val="21"/>
                <w:szCs w:val="21"/>
              </w:rPr>
              <w:t>95</w:t>
            </w:r>
          </w:p>
        </w:tc>
        <w:tc>
          <w:tcPr>
            <w:tcW w:w="1937" w:type="dxa"/>
            <w:vAlign w:val="center"/>
          </w:tcPr>
          <w:p>
            <w:pPr>
              <w:spacing w:line="240" w:lineRule="auto"/>
              <w:jc w:val="center"/>
              <w:rPr>
                <w:rFonts w:cs="Times New Roman"/>
                <w:sz w:val="21"/>
                <w:szCs w:val="21"/>
              </w:rPr>
            </w:pPr>
            <w:r>
              <w:rPr>
                <w:rFonts w:hint="eastAsia" w:cs="Times New Roman"/>
                <w:sz w:val="21"/>
                <w:szCs w:val="21"/>
              </w:rPr>
              <w:t>95</w:t>
            </w:r>
          </w:p>
        </w:tc>
        <w:tc>
          <w:tcPr>
            <w:tcW w:w="1616" w:type="dxa"/>
            <w:vAlign w:val="center"/>
          </w:tcPr>
          <w:p>
            <w:pPr>
              <w:spacing w:line="240" w:lineRule="auto"/>
              <w:jc w:val="center"/>
              <w:rPr>
                <w:rFonts w:cs="Times New Roman"/>
                <w:sz w:val="21"/>
                <w:szCs w:val="21"/>
              </w:rPr>
            </w:pPr>
            <w:r>
              <w:rPr>
                <w:rFonts w:hAnsi="仿宋"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3797" w:type="dxa"/>
            <w:vAlign w:val="center"/>
          </w:tcPr>
          <w:p>
            <w:pPr>
              <w:spacing w:line="240" w:lineRule="auto"/>
              <w:jc w:val="center"/>
              <w:rPr>
                <w:rFonts w:cs="Times New Roman"/>
                <w:sz w:val="21"/>
                <w:szCs w:val="21"/>
              </w:rPr>
            </w:pPr>
            <w:r>
              <w:rPr>
                <w:rFonts w:hAnsi="仿宋" w:cs="Times New Roman"/>
                <w:sz w:val="21"/>
                <w:szCs w:val="21"/>
              </w:rPr>
              <w:t>林草植被恢复率（</w:t>
            </w:r>
            <w:r>
              <w:rPr>
                <w:rFonts w:cs="Times New Roman"/>
                <w:sz w:val="21"/>
                <w:szCs w:val="21"/>
              </w:rPr>
              <w:t>%</w:t>
            </w:r>
            <w:r>
              <w:rPr>
                <w:rFonts w:hAnsi="仿宋" w:cs="Times New Roman"/>
                <w:sz w:val="21"/>
                <w:szCs w:val="21"/>
              </w:rPr>
              <w:t>）</w:t>
            </w:r>
          </w:p>
        </w:tc>
        <w:tc>
          <w:tcPr>
            <w:tcW w:w="1937" w:type="dxa"/>
            <w:vAlign w:val="center"/>
          </w:tcPr>
          <w:p>
            <w:pPr>
              <w:adjustRightInd w:val="0"/>
              <w:snapToGrid w:val="0"/>
              <w:spacing w:line="240" w:lineRule="auto"/>
              <w:jc w:val="center"/>
              <w:rPr>
                <w:rFonts w:cs="Times New Roman"/>
                <w:sz w:val="21"/>
                <w:szCs w:val="21"/>
              </w:rPr>
            </w:pPr>
            <w:r>
              <w:rPr>
                <w:rFonts w:cs="Times New Roman"/>
                <w:sz w:val="21"/>
                <w:szCs w:val="21"/>
              </w:rPr>
              <w:t>99</w:t>
            </w:r>
          </w:p>
        </w:tc>
        <w:tc>
          <w:tcPr>
            <w:tcW w:w="1937" w:type="dxa"/>
            <w:vAlign w:val="center"/>
          </w:tcPr>
          <w:p>
            <w:pPr>
              <w:spacing w:line="240" w:lineRule="auto"/>
              <w:jc w:val="center"/>
              <w:rPr>
                <w:rFonts w:cs="Times New Roman"/>
                <w:sz w:val="21"/>
                <w:szCs w:val="21"/>
              </w:rPr>
            </w:pPr>
            <w:r>
              <w:rPr>
                <w:rFonts w:hint="eastAsia" w:cs="Times New Roman"/>
                <w:sz w:val="21"/>
                <w:szCs w:val="21"/>
              </w:rPr>
              <w:t>0</w:t>
            </w:r>
          </w:p>
        </w:tc>
        <w:tc>
          <w:tcPr>
            <w:tcW w:w="1616" w:type="dxa"/>
            <w:vAlign w:val="center"/>
          </w:tcPr>
          <w:p>
            <w:pPr>
              <w:spacing w:line="240" w:lineRule="auto"/>
              <w:jc w:val="center"/>
              <w:rPr>
                <w:rFonts w:cs="Times New Roman"/>
                <w:sz w:val="21"/>
                <w:szCs w:val="21"/>
              </w:rPr>
            </w:pPr>
            <w:r>
              <w:rPr>
                <w:rFonts w:hint="eastAsia" w:hAnsi="仿宋" w:cs="Times New Roman"/>
                <w:sz w:val="21"/>
                <w:szCs w:val="21"/>
              </w:rPr>
              <w:t>由于</w:t>
            </w:r>
            <w:r>
              <w:rPr>
                <w:rFonts w:hAnsi="仿宋" w:cs="Times New Roman"/>
                <w:sz w:val="21"/>
                <w:szCs w:val="21"/>
              </w:rPr>
              <w:t>工程特性无法达标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3797" w:type="dxa"/>
            <w:vAlign w:val="center"/>
          </w:tcPr>
          <w:p>
            <w:pPr>
              <w:spacing w:line="240" w:lineRule="auto"/>
              <w:jc w:val="center"/>
              <w:rPr>
                <w:rFonts w:hAnsi="仿宋" w:cs="Times New Roman"/>
                <w:sz w:val="21"/>
                <w:szCs w:val="21"/>
              </w:rPr>
            </w:pPr>
            <w:r>
              <w:rPr>
                <w:rFonts w:hAnsi="仿宋" w:cs="Times New Roman"/>
                <w:sz w:val="21"/>
                <w:szCs w:val="21"/>
              </w:rPr>
              <w:t>林草覆盖率</w:t>
            </w:r>
            <w:r>
              <w:rPr>
                <w:rFonts w:hint="eastAsia" w:hAnsi="仿宋" w:cs="Times New Roman"/>
                <w:sz w:val="21"/>
                <w:szCs w:val="21"/>
              </w:rPr>
              <w:t>（%）</w:t>
            </w:r>
          </w:p>
        </w:tc>
        <w:tc>
          <w:tcPr>
            <w:tcW w:w="1937" w:type="dxa"/>
            <w:vAlign w:val="center"/>
          </w:tcPr>
          <w:p>
            <w:pPr>
              <w:adjustRightInd w:val="0"/>
              <w:snapToGrid w:val="0"/>
              <w:spacing w:line="240" w:lineRule="auto"/>
              <w:jc w:val="center"/>
              <w:rPr>
                <w:rFonts w:cs="Times New Roman"/>
                <w:sz w:val="21"/>
                <w:szCs w:val="21"/>
              </w:rPr>
            </w:pPr>
            <w:r>
              <w:rPr>
                <w:rFonts w:hint="eastAsia" w:cs="Times New Roman"/>
                <w:sz w:val="21"/>
                <w:szCs w:val="21"/>
              </w:rPr>
              <w:t>27</w:t>
            </w:r>
          </w:p>
        </w:tc>
        <w:tc>
          <w:tcPr>
            <w:tcW w:w="1937" w:type="dxa"/>
            <w:vAlign w:val="center"/>
          </w:tcPr>
          <w:p>
            <w:pPr>
              <w:spacing w:line="240" w:lineRule="auto"/>
              <w:jc w:val="center"/>
              <w:rPr>
                <w:rFonts w:cs="Times New Roman"/>
                <w:sz w:val="21"/>
                <w:szCs w:val="21"/>
              </w:rPr>
            </w:pPr>
            <w:r>
              <w:rPr>
                <w:rFonts w:hint="eastAsia" w:cs="Times New Roman"/>
                <w:sz w:val="21"/>
                <w:szCs w:val="21"/>
              </w:rPr>
              <w:t>0</w:t>
            </w:r>
          </w:p>
        </w:tc>
        <w:tc>
          <w:tcPr>
            <w:tcW w:w="1616" w:type="dxa"/>
            <w:vAlign w:val="center"/>
          </w:tcPr>
          <w:p>
            <w:pPr>
              <w:spacing w:line="240" w:lineRule="auto"/>
              <w:jc w:val="center"/>
              <w:rPr>
                <w:rFonts w:hAnsi="仿宋" w:cs="Times New Roman"/>
                <w:sz w:val="21"/>
                <w:szCs w:val="21"/>
              </w:rPr>
            </w:pPr>
            <w:r>
              <w:rPr>
                <w:rFonts w:hint="eastAsia" w:hAnsi="仿宋" w:cs="Times New Roman"/>
                <w:sz w:val="21"/>
                <w:szCs w:val="21"/>
              </w:rPr>
              <w:t>由于</w:t>
            </w:r>
            <w:r>
              <w:rPr>
                <w:rFonts w:hAnsi="仿宋" w:cs="Times New Roman"/>
                <w:sz w:val="21"/>
                <w:szCs w:val="21"/>
              </w:rPr>
              <w:t>工程特性无法达标</w:t>
            </w:r>
          </w:p>
        </w:tc>
      </w:tr>
    </w:tbl>
    <w:p>
      <w:pPr>
        <w:ind w:firstLine="480" w:firstLineChars="200"/>
        <w:sectPr>
          <w:pgSz w:w="11906" w:h="16838"/>
          <w:pgMar w:top="1440" w:right="1800" w:bottom="1440" w:left="1800" w:header="851" w:footer="992" w:gutter="0"/>
          <w:cols w:space="425" w:num="1"/>
          <w:docGrid w:type="lines" w:linePitch="312" w:charSpace="0"/>
        </w:sectPr>
      </w:pPr>
      <w:r>
        <w:rPr>
          <w:rFonts w:hint="eastAsia"/>
        </w:rPr>
        <w:t>总体来看，通过各项水土保持措施的实施，项目区内除建筑物以外的占地均进行了硬化，虽然本项目林草覆盖率及林草植被恢复率由于工程特性未能达标，但项目区内其余位置均采用地表硬化措施，已无裸露地表，可有效地防止和减少水土流失对工程区域生态环境造成的破坏，建设过程中产生的水土流失基本得到了控制和治理。</w:t>
      </w:r>
    </w:p>
    <w:p>
      <w:pPr>
        <w:pStyle w:val="2"/>
      </w:pPr>
      <w:bookmarkStart w:id="39" w:name="_Toc44344058"/>
      <w:r>
        <w:rPr>
          <w:rFonts w:hint="eastAsia"/>
        </w:rPr>
        <w:t>10.水土保持设施管理维护评价</w:t>
      </w:r>
      <w:bookmarkEnd w:id="39"/>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该工程水土保持设施与主体工程统一管护，纳入项目区建设管理规范，建立了“政府监督、社会监理、企业自检”三级质量保护体系，并落实了工程质量责任终身制。</w:t>
      </w:r>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工程运行期，工程竣工后将由运营单位统一管理，水土保持设施将由专门人员进行管理和维护，接水务主管部门监督、监测，按照批准的水土保持方案及市水务局关于方案批复函的要求进行自查。特别在雨季，注意认真做好汛期的水土保持工作，一旦发现问题将及时处理，确保水土保持设施持续、稳定、安全、有序运行。</w:t>
      </w:r>
    </w:p>
    <w:p>
      <w:pPr>
        <w:pStyle w:val="2"/>
      </w:pPr>
      <w:bookmarkStart w:id="40" w:name="_Toc44344059"/>
      <w:r>
        <w:rPr>
          <w:rFonts w:hint="eastAsia"/>
        </w:rPr>
        <w:t>11.综合结论</w:t>
      </w:r>
      <w:bookmarkEnd w:id="40"/>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综上，建设单位依法编报水土保持方案，实施水土保持方案确定的各项防治措施，完成防治任务；建成的水土保持设施总体质量合格，水土流失防治指标达到《生产建设项目水土流失防治标准》（GB/T 50434-2018）要求，较好地控制和减少了工程建设中的水土流失；水土保持设施通过验收，主体可投入使用。</w:t>
      </w:r>
    </w:p>
    <w:p>
      <w:pPr>
        <w:sectPr>
          <w:pgSz w:w="11906" w:h="16838"/>
          <w:pgMar w:top="1440" w:right="1800" w:bottom="1440" w:left="1800" w:header="851" w:footer="992" w:gutter="0"/>
          <w:cols w:space="425" w:num="1"/>
          <w:docGrid w:type="lines" w:linePitch="312" w:charSpace="0"/>
        </w:sectPr>
      </w:pPr>
    </w:p>
    <w:p>
      <w:pPr>
        <w:pStyle w:val="2"/>
      </w:pPr>
      <w:bookmarkStart w:id="41" w:name="_Toc44344060"/>
      <w:r>
        <w:rPr>
          <w:rFonts w:hint="eastAsia"/>
        </w:rPr>
        <w:t>12.遗留问题及建议</w:t>
      </w:r>
      <w:bookmarkEnd w:id="41"/>
    </w:p>
    <w:p>
      <w:pPr>
        <w:pStyle w:val="3"/>
      </w:pPr>
      <w:bookmarkStart w:id="42" w:name="_Toc44344061"/>
      <w:r>
        <w:rPr>
          <w:rFonts w:hint="eastAsia"/>
        </w:rPr>
        <w:t>12.1遗留问题</w:t>
      </w:r>
      <w:bookmarkEnd w:id="42"/>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深圳机场公务机二期机库项目各项水土保持措施已经按设计要求完成，目前工程质量合格，运行稳定，但水土保持工作不是一劳永逸的，还需要持续进行管护。</w:t>
      </w:r>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工程建成后，重要的是加强管理。建设单位将积极向各部门、各单位和各界群众宣传水土保持的有关法规条例，强化业主及各单位工作人员的水土保持意识，重视对水土流失的防治，并维护好各项水土保持设施。</w:t>
      </w:r>
    </w:p>
    <w:p>
      <w:pPr>
        <w:pStyle w:val="3"/>
      </w:pPr>
      <w:bookmarkStart w:id="43" w:name="_Toc44344062"/>
      <w:r>
        <w:rPr>
          <w:rFonts w:hint="eastAsia"/>
        </w:rPr>
        <w:t>12.2建议</w:t>
      </w:r>
      <w:bookmarkEnd w:id="43"/>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本项目施工已完成，施工建设中的水土保持措施均已发挥效益，有效防治了水土流失，持续保护项目区水土资源。</w:t>
      </w:r>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1）建设单位在认真做好管理与养护工作的基础上，根据条件安排一定的专项资金，用于水土保持设施的维护、修善，以进一步确保管辖范围内水土保持工程的正常使用和运行，更好地发挥水土保持工程的持续效益。</w:t>
      </w:r>
    </w:p>
    <w:p>
      <w:pPr>
        <w:adjustRightInd w:val="0"/>
        <w:snapToGrid w:val="0"/>
        <w:ind w:firstLine="480" w:firstLineChars="200"/>
        <w:rPr>
          <w:rFonts w:eastAsia="仿宋_GB2312"/>
          <w:color w:val="000000" w:themeColor="text1"/>
          <w:szCs w:val="24"/>
        </w:rPr>
      </w:pPr>
      <w:r>
        <w:rPr>
          <w:rFonts w:hint="eastAsia" w:eastAsia="仿宋_GB2312"/>
          <w:color w:val="000000" w:themeColor="text1"/>
          <w:szCs w:val="24"/>
        </w:rPr>
        <w:t>（2）建设单位应委派专人负责管护工作，结合周边巡查，维护已有水土保持设施，定期对其进行修缮，保证水土保持设施正常运行。</w:t>
      </w:r>
    </w:p>
    <w:p>
      <w:pPr>
        <w:adjustRightInd w:val="0"/>
        <w:snapToGrid w:val="0"/>
        <w:rPr>
          <w:rFonts w:eastAsia="仿宋_GB2312"/>
          <w:color w:val="000000" w:themeColor="text1"/>
          <w:szCs w:val="24"/>
        </w:rPr>
        <w:sectPr>
          <w:pgSz w:w="11906" w:h="16838"/>
          <w:pgMar w:top="1440" w:right="1800" w:bottom="1440" w:left="1800" w:header="851" w:footer="992" w:gutter="0"/>
          <w:cols w:space="425" w:num="1"/>
          <w:docGrid w:type="lines" w:linePitch="312" w:charSpace="0"/>
        </w:sectPr>
      </w:pPr>
    </w:p>
    <w:p>
      <w:pPr>
        <w:pStyle w:val="2"/>
      </w:pPr>
      <w:bookmarkStart w:id="44" w:name="_Toc44344063"/>
      <w:r>
        <w:rPr>
          <w:rFonts w:hint="eastAsia"/>
        </w:rPr>
        <w:t>13.附件及附图</w:t>
      </w:r>
      <w:bookmarkEnd w:id="44"/>
    </w:p>
    <w:p>
      <w:pPr>
        <w:pStyle w:val="3"/>
      </w:pPr>
      <w:bookmarkStart w:id="45" w:name="_Toc44344064"/>
      <w:r>
        <w:rPr>
          <w:rFonts w:hint="eastAsia"/>
        </w:rPr>
        <w:t>13.1附件</w:t>
      </w:r>
      <w:bookmarkEnd w:id="45"/>
    </w:p>
    <w:p>
      <w:pPr>
        <w:ind w:firstLine="480" w:firstLineChars="200"/>
      </w:pPr>
      <w:r>
        <w:rPr>
          <w:rFonts w:hint="eastAsia"/>
        </w:rPr>
        <w:t>（1）项目立项文件</w:t>
      </w:r>
    </w:p>
    <w:p>
      <w:pPr>
        <w:ind w:firstLine="480" w:firstLineChars="200"/>
      </w:pPr>
      <w:r>
        <w:rPr>
          <w:rFonts w:hint="eastAsia"/>
        </w:rPr>
        <w:t>（2）水土保持批复文件</w:t>
      </w:r>
    </w:p>
    <w:p>
      <w:pPr>
        <w:ind w:firstLine="480" w:firstLineChars="200"/>
      </w:pPr>
      <w:r>
        <w:rPr>
          <w:rFonts w:hint="eastAsia"/>
        </w:rPr>
        <w:t>（3）验收照片</w:t>
      </w:r>
    </w:p>
    <w:p>
      <w:pPr>
        <w:pStyle w:val="3"/>
      </w:pPr>
      <w:bookmarkStart w:id="46" w:name="_Toc44344065"/>
      <w:r>
        <w:rPr>
          <w:rFonts w:hint="eastAsia"/>
        </w:rPr>
        <w:t>13.2附图</w:t>
      </w:r>
      <w:bookmarkEnd w:id="46"/>
    </w:p>
    <w:p>
      <w:pPr>
        <w:ind w:firstLine="480" w:firstLineChars="200"/>
      </w:pPr>
      <w:r>
        <w:rPr>
          <w:rFonts w:hint="eastAsia"/>
        </w:rPr>
        <w:t>（1）主体工程平面图</w:t>
      </w:r>
    </w:p>
    <w:p>
      <w:pPr>
        <w:ind w:firstLine="480" w:firstLineChars="200"/>
      </w:pPr>
      <w:r>
        <w:rPr>
          <w:rFonts w:hint="eastAsia"/>
        </w:rPr>
        <w:t>（2）水土流失防治责任范围图及水土保持措施布设竣工验收图</w:t>
      </w:r>
    </w:p>
    <w:p>
      <w:pPr>
        <w:rPr>
          <w:b/>
        </w:rPr>
        <w:sectPr>
          <w:pgSz w:w="11906" w:h="16838"/>
          <w:pgMar w:top="1440" w:right="1800" w:bottom="1440" w:left="1800" w:header="851" w:footer="992" w:gutter="0"/>
          <w:cols w:space="425" w:num="1"/>
          <w:docGrid w:type="lines" w:linePitch="312" w:charSpace="0"/>
        </w:sectPr>
      </w:pPr>
    </w:p>
    <w:p>
      <w:pPr>
        <w:rPr>
          <w:b/>
        </w:rPr>
      </w:pPr>
      <w:r>
        <w:rPr>
          <w:rFonts w:hint="eastAsia"/>
          <w:b/>
        </w:rPr>
        <w:t>（1）项目立项文件</w:t>
      </w:r>
    </w:p>
    <w:p>
      <w:r>
        <w:drawing>
          <wp:inline distT="0" distB="0" distL="0" distR="0">
            <wp:extent cx="5274310" cy="7078345"/>
            <wp:effectExtent l="19050" t="19050" r="21590" b="27305"/>
            <wp:docPr id="1" name="图片 1" descr="C:\Users\admin\AppData\Local\Temp\15933329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AppData\Local\Temp\159333291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7078452"/>
                    </a:xfrm>
                    <a:prstGeom prst="rect">
                      <a:avLst/>
                    </a:prstGeom>
                    <a:noFill/>
                    <a:ln>
                      <a:solidFill>
                        <a:schemeClr val="tx1"/>
                      </a:solidFill>
                    </a:ln>
                  </pic:spPr>
                </pic:pic>
              </a:graphicData>
            </a:graphic>
          </wp:inline>
        </w:drawing>
      </w:r>
    </w:p>
    <w:p/>
    <w:p/>
    <w:p>
      <w:pPr>
        <w:sectPr>
          <w:pgSz w:w="11906" w:h="16838"/>
          <w:pgMar w:top="1440" w:right="1800" w:bottom="1440" w:left="1800" w:header="851" w:footer="992" w:gutter="0"/>
          <w:cols w:space="425" w:num="1"/>
          <w:docGrid w:type="lines" w:linePitch="312" w:charSpace="0"/>
        </w:sectPr>
      </w:pPr>
    </w:p>
    <w:p>
      <w:pPr>
        <w:rPr>
          <w:b/>
        </w:rPr>
      </w:pPr>
      <w:r>
        <w:rPr>
          <w:rFonts w:hint="eastAsia"/>
          <w:b/>
        </w:rPr>
        <w:t>（2）水土保持方案批复</w:t>
      </w:r>
    </w:p>
    <w:p>
      <w:r>
        <w:drawing>
          <wp:inline distT="0" distB="0" distL="0" distR="0">
            <wp:extent cx="5274310" cy="7239635"/>
            <wp:effectExtent l="19050" t="19050" r="21590" b="18415"/>
            <wp:docPr id="3" name="图片 3" descr="C:\Users\admin\AppData\Local\Temp\15933329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9333296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7239947"/>
                    </a:xfrm>
                    <a:prstGeom prst="rect">
                      <a:avLst/>
                    </a:prstGeom>
                    <a:noFill/>
                    <a:ln>
                      <a:solidFill>
                        <a:schemeClr val="tx1"/>
                      </a:solidFill>
                    </a:ln>
                  </pic:spPr>
                </pic:pic>
              </a:graphicData>
            </a:graphic>
          </wp:inline>
        </w:drawing>
      </w:r>
    </w:p>
    <w:p>
      <w:pPr>
        <w:rPr>
          <w:b/>
        </w:rPr>
        <w:sectPr>
          <w:pgSz w:w="11906" w:h="16838"/>
          <w:pgMar w:top="1440" w:right="1800" w:bottom="1440" w:left="1800" w:header="851" w:footer="992" w:gutter="0"/>
          <w:cols w:space="425" w:num="1"/>
          <w:docGrid w:type="lines" w:linePitch="312" w:charSpace="0"/>
        </w:sectPr>
      </w:pPr>
    </w:p>
    <w:p>
      <w:pPr>
        <w:rPr>
          <w:b/>
        </w:rPr>
      </w:pPr>
      <w:r>
        <w:rPr>
          <w:rFonts w:hint="eastAsia"/>
          <w:b/>
        </w:rPr>
        <w:t>（3）验收照片</w:t>
      </w:r>
    </w:p>
    <w:p>
      <w:r>
        <w:pict>
          <v:shape id="_x0000_i1026" o:spt="75" type="#_x0000_t75" style="height:153pt;width:204pt;" filled="f" o:preferrelative="t" stroked="f" coordsize="21600,21600">
            <v:path/>
            <v:fill on="f" focussize="0,0"/>
            <v:stroke on="f" joinstyle="miter"/>
            <v:imagedata r:id="rId15" o:title="IMG_20200629_104615"/>
            <o:lock v:ext="edit" aspectratio="t"/>
            <w10:wrap type="none"/>
            <w10:anchorlock/>
          </v:shape>
        </w:pict>
      </w:r>
      <w:r>
        <w:pict>
          <v:shape id="_x0000_i1027" o:spt="75" type="#_x0000_t75" style="height:153pt;width:204pt;" filled="f" o:preferrelative="t" stroked="f" coordsize="21600,21600">
            <v:path/>
            <v:fill on="f" focussize="0,0"/>
            <v:stroke on="f" joinstyle="miter"/>
            <v:imagedata r:id="rId16" o:title="IMG_20200629_104655"/>
            <o:lock v:ext="edit" aspectratio="t"/>
            <w10:wrap type="none"/>
            <w10:anchorlock/>
          </v:shape>
        </w:pict>
      </w:r>
    </w:p>
    <w:p>
      <w:r>
        <w:rPr>
          <w:rFonts w:hint="eastAsia"/>
        </w:rPr>
        <w:t>机库内部机库外侧硬化地面1</w:t>
      </w:r>
    </w:p>
    <w:p>
      <w:r>
        <w:pict>
          <v:shape id="_x0000_i1028" o:spt="75" type="#_x0000_t75" style="height:153pt;width:204pt;" filled="f" o:preferrelative="t" stroked="f" coordsize="21600,21600">
            <v:path/>
            <v:fill on="f" focussize="0,0"/>
            <v:stroke on="f" joinstyle="miter"/>
            <v:imagedata r:id="rId17" o:title="IMG_20200629_105147"/>
            <o:lock v:ext="edit" aspectratio="t"/>
            <w10:wrap type="none"/>
            <w10:anchorlock/>
          </v:shape>
        </w:pict>
      </w:r>
      <w:r>
        <w:pict>
          <v:shape id="_x0000_i1029" o:spt="75" type="#_x0000_t75" style="height:153pt;width:204pt;" filled="f" o:preferrelative="t" stroked="f" coordsize="21600,21600">
            <v:path/>
            <v:fill on="f" focussize="0,0"/>
            <v:stroke on="f" joinstyle="miter"/>
            <v:imagedata r:id="rId18" o:title="IMG_20200629_104744"/>
            <o:lock v:ext="edit" aspectratio="t"/>
            <w10:wrap type="none"/>
            <w10:anchorlock/>
          </v:shape>
        </w:pict>
      </w:r>
    </w:p>
    <w:p>
      <w:r>
        <w:rPr>
          <w:rFonts w:hint="eastAsia"/>
        </w:rPr>
        <w:t>机库外侧硬化地面2                  新建永久排水沟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002881"/>
      <w:docPartObj>
        <w:docPartGallery w:val="AutoText"/>
      </w:docPartObj>
    </w:sdtPr>
    <w:sdtContent>
      <w:p>
        <w:pPr>
          <w:pStyle w:val="7"/>
          <w:jc w:val="right"/>
        </w:pPr>
        <w:r>
          <w:fldChar w:fldCharType="begin"/>
        </w:r>
        <w:r>
          <w:instrText xml:space="preserve">PAGE   \* MERGEFORMAT</w:instrText>
        </w:r>
        <w:r>
          <w:fldChar w:fldCharType="separate"/>
        </w:r>
        <w:r>
          <w:rPr>
            <w:lang w:val="zh-CN"/>
          </w:rPr>
          <w:t>17</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深圳机场公务机二期机库项目水土保持设施专项自验报告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trackRevisions w:val="1"/>
  <w:documentProtection w:edit="trackedChanges" w:enforcement="1" w:cryptProviderType="rsaFull" w:cryptAlgorithmClass="hash" w:cryptAlgorithmType="typeAny" w:cryptAlgorithmSid="4" w:cryptSpinCount="0" w:hash="VpENgfgVPHOsEOhh1z0gI+NdYlY=" w:salt="JmEX3yNFOSXbdxobUumLIw=="/>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876E0"/>
    <w:rsid w:val="0001181C"/>
    <w:rsid w:val="00031687"/>
    <w:rsid w:val="00071E89"/>
    <w:rsid w:val="00072151"/>
    <w:rsid w:val="00072334"/>
    <w:rsid w:val="00072E08"/>
    <w:rsid w:val="00094C72"/>
    <w:rsid w:val="000B2E8B"/>
    <w:rsid w:val="000B3786"/>
    <w:rsid w:val="000D07FE"/>
    <w:rsid w:val="000D546C"/>
    <w:rsid w:val="000E720D"/>
    <w:rsid w:val="00101E68"/>
    <w:rsid w:val="00110FE6"/>
    <w:rsid w:val="00145271"/>
    <w:rsid w:val="0015214E"/>
    <w:rsid w:val="00167E92"/>
    <w:rsid w:val="00173E15"/>
    <w:rsid w:val="001A091F"/>
    <w:rsid w:val="001A0FE6"/>
    <w:rsid w:val="001B28B9"/>
    <w:rsid w:val="001D0729"/>
    <w:rsid w:val="001D488D"/>
    <w:rsid w:val="001E03B3"/>
    <w:rsid w:val="00205D97"/>
    <w:rsid w:val="00245E1A"/>
    <w:rsid w:val="00252069"/>
    <w:rsid w:val="00273340"/>
    <w:rsid w:val="002B6CB4"/>
    <w:rsid w:val="002C768D"/>
    <w:rsid w:val="00313F12"/>
    <w:rsid w:val="00323DF7"/>
    <w:rsid w:val="0034523E"/>
    <w:rsid w:val="00357A81"/>
    <w:rsid w:val="00386C69"/>
    <w:rsid w:val="003B3FAB"/>
    <w:rsid w:val="003B4543"/>
    <w:rsid w:val="003B53E4"/>
    <w:rsid w:val="003B6A27"/>
    <w:rsid w:val="00401A8A"/>
    <w:rsid w:val="004253E7"/>
    <w:rsid w:val="00425681"/>
    <w:rsid w:val="004273D9"/>
    <w:rsid w:val="00434C15"/>
    <w:rsid w:val="0047113C"/>
    <w:rsid w:val="00472DB9"/>
    <w:rsid w:val="0049008C"/>
    <w:rsid w:val="00491877"/>
    <w:rsid w:val="00494A61"/>
    <w:rsid w:val="004C3D8D"/>
    <w:rsid w:val="004D253D"/>
    <w:rsid w:val="004E7057"/>
    <w:rsid w:val="004F7670"/>
    <w:rsid w:val="0052320C"/>
    <w:rsid w:val="0055097E"/>
    <w:rsid w:val="00556150"/>
    <w:rsid w:val="0057510A"/>
    <w:rsid w:val="00581561"/>
    <w:rsid w:val="005A427A"/>
    <w:rsid w:val="005B41A6"/>
    <w:rsid w:val="005F2538"/>
    <w:rsid w:val="005F2E3E"/>
    <w:rsid w:val="005F3375"/>
    <w:rsid w:val="0062597B"/>
    <w:rsid w:val="00666B91"/>
    <w:rsid w:val="00670AC7"/>
    <w:rsid w:val="006B2D8A"/>
    <w:rsid w:val="006F3251"/>
    <w:rsid w:val="006F64A6"/>
    <w:rsid w:val="00726B09"/>
    <w:rsid w:val="007479AA"/>
    <w:rsid w:val="00797BE5"/>
    <w:rsid w:val="007A06C4"/>
    <w:rsid w:val="007E2161"/>
    <w:rsid w:val="0081505E"/>
    <w:rsid w:val="00861A00"/>
    <w:rsid w:val="00867795"/>
    <w:rsid w:val="008752A6"/>
    <w:rsid w:val="008774BA"/>
    <w:rsid w:val="00884819"/>
    <w:rsid w:val="008876E0"/>
    <w:rsid w:val="008E5C0E"/>
    <w:rsid w:val="00976AAB"/>
    <w:rsid w:val="00983096"/>
    <w:rsid w:val="009C221B"/>
    <w:rsid w:val="009D61A5"/>
    <w:rsid w:val="009E4C79"/>
    <w:rsid w:val="009E6A16"/>
    <w:rsid w:val="009F400F"/>
    <w:rsid w:val="00A05DC8"/>
    <w:rsid w:val="00A457B1"/>
    <w:rsid w:val="00A95E90"/>
    <w:rsid w:val="00AB2E33"/>
    <w:rsid w:val="00AC60D4"/>
    <w:rsid w:val="00AF2209"/>
    <w:rsid w:val="00AF7EF7"/>
    <w:rsid w:val="00B2309D"/>
    <w:rsid w:val="00B44A8F"/>
    <w:rsid w:val="00B92EB0"/>
    <w:rsid w:val="00B9574C"/>
    <w:rsid w:val="00BC5F84"/>
    <w:rsid w:val="00BE4D74"/>
    <w:rsid w:val="00BF70B9"/>
    <w:rsid w:val="00C0009D"/>
    <w:rsid w:val="00C14894"/>
    <w:rsid w:val="00C53BBD"/>
    <w:rsid w:val="00C72F75"/>
    <w:rsid w:val="00CA3A6B"/>
    <w:rsid w:val="00CC2E4A"/>
    <w:rsid w:val="00CD7CEF"/>
    <w:rsid w:val="00CF568D"/>
    <w:rsid w:val="00D00736"/>
    <w:rsid w:val="00D059A3"/>
    <w:rsid w:val="00D11A2D"/>
    <w:rsid w:val="00D249CF"/>
    <w:rsid w:val="00D53DD4"/>
    <w:rsid w:val="00D74BF6"/>
    <w:rsid w:val="00DA73E4"/>
    <w:rsid w:val="00DD76F7"/>
    <w:rsid w:val="00E46DF0"/>
    <w:rsid w:val="00E95736"/>
    <w:rsid w:val="00ED7DDD"/>
    <w:rsid w:val="00EE7135"/>
    <w:rsid w:val="00EF0AC7"/>
    <w:rsid w:val="00F4123D"/>
    <w:rsid w:val="00F44281"/>
    <w:rsid w:val="00F5338B"/>
    <w:rsid w:val="00F53952"/>
    <w:rsid w:val="00F72DCB"/>
    <w:rsid w:val="00F85DDF"/>
    <w:rsid w:val="00F8697F"/>
    <w:rsid w:val="00FB14EC"/>
    <w:rsid w:val="00FC208D"/>
    <w:rsid w:val="00FD4948"/>
    <w:rsid w:val="00FE6436"/>
    <w:rsid w:val="18637D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8"/>
    <w:qFormat/>
    <w:uiPriority w:val="9"/>
    <w:pPr>
      <w:keepNext/>
      <w:keepLines/>
      <w:spacing w:before="60" w:after="60"/>
      <w:outlineLvl w:val="0"/>
    </w:pPr>
    <w:rPr>
      <w:b/>
      <w:bCs/>
      <w:kern w:val="44"/>
      <w:sz w:val="32"/>
      <w:szCs w:val="44"/>
    </w:rPr>
  </w:style>
  <w:style w:type="paragraph" w:styleId="3">
    <w:name w:val="heading 2"/>
    <w:basedOn w:val="1"/>
    <w:next w:val="1"/>
    <w:link w:val="20"/>
    <w:unhideWhenUsed/>
    <w:qFormat/>
    <w:uiPriority w:val="9"/>
    <w:pPr>
      <w:keepNext/>
      <w:keepLines/>
      <w:spacing w:before="40" w:after="40"/>
      <w:outlineLvl w:val="1"/>
    </w:pPr>
    <w:rPr>
      <w:rFonts w:cstheme="majorBidi"/>
      <w:b/>
      <w:bCs/>
      <w:sz w:val="30"/>
      <w:szCs w:val="32"/>
    </w:rPr>
  </w:style>
  <w:style w:type="paragraph" w:styleId="4">
    <w:name w:val="heading 3"/>
    <w:basedOn w:val="1"/>
    <w:next w:val="1"/>
    <w:link w:val="21"/>
    <w:unhideWhenUsed/>
    <w:qFormat/>
    <w:uiPriority w:val="9"/>
    <w:pPr>
      <w:keepNext/>
      <w:keepLines/>
      <w:spacing w:before="20" w:after="20"/>
      <w:outlineLvl w:val="2"/>
    </w:pPr>
    <w:rPr>
      <w:b/>
      <w:bCs/>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000FF" w:themeColor="hyperlink"/>
      <w:u w:val="single"/>
    </w:rPr>
  </w:style>
  <w:style w:type="character" w:customStyle="1" w:styleId="15">
    <w:name w:val="页眉 Char"/>
    <w:basedOn w:val="13"/>
    <w:link w:val="8"/>
    <w:qFormat/>
    <w:uiPriority w:val="99"/>
    <w:rPr>
      <w:sz w:val="18"/>
      <w:szCs w:val="18"/>
    </w:rPr>
  </w:style>
  <w:style w:type="character" w:customStyle="1" w:styleId="16">
    <w:name w:val="页脚 Char"/>
    <w:basedOn w:val="13"/>
    <w:link w:val="7"/>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1 Char"/>
    <w:basedOn w:val="13"/>
    <w:link w:val="2"/>
    <w:qFormat/>
    <w:uiPriority w:val="9"/>
    <w:rPr>
      <w:rFonts w:ascii="Times New Roman" w:hAnsi="Times New Roman" w:eastAsia="宋体"/>
      <w:b/>
      <w:bCs/>
      <w:kern w:val="44"/>
      <w:sz w:val="32"/>
      <w:szCs w:val="44"/>
    </w:rPr>
  </w:style>
  <w:style w:type="character" w:customStyle="1" w:styleId="19">
    <w:name w:val="批注框文本 Char"/>
    <w:basedOn w:val="13"/>
    <w:link w:val="6"/>
    <w:semiHidden/>
    <w:qFormat/>
    <w:uiPriority w:val="99"/>
    <w:rPr>
      <w:rFonts w:ascii="Times New Roman" w:hAnsi="Times New Roman" w:eastAsia="宋体"/>
      <w:sz w:val="18"/>
      <w:szCs w:val="18"/>
    </w:rPr>
  </w:style>
  <w:style w:type="character" w:customStyle="1" w:styleId="20">
    <w:name w:val="标题 2 Char"/>
    <w:basedOn w:val="13"/>
    <w:link w:val="3"/>
    <w:qFormat/>
    <w:uiPriority w:val="9"/>
    <w:rPr>
      <w:rFonts w:ascii="Times New Roman" w:hAnsi="Times New Roman" w:eastAsia="宋体" w:cstheme="majorBidi"/>
      <w:b/>
      <w:bCs/>
      <w:sz w:val="30"/>
      <w:szCs w:val="32"/>
    </w:rPr>
  </w:style>
  <w:style w:type="character" w:customStyle="1" w:styleId="21">
    <w:name w:val="标题 3 Char"/>
    <w:basedOn w:val="13"/>
    <w:link w:val="4"/>
    <w:qFormat/>
    <w:uiPriority w:val="9"/>
    <w:rPr>
      <w:rFonts w:ascii="Times New Roman" w:hAnsi="Times New Roman" w:eastAsia="宋体"/>
      <w:b/>
      <w:bCs/>
      <w:sz w:val="24"/>
      <w:szCs w:val="32"/>
    </w:rPr>
  </w:style>
  <w:style w:type="paragraph" w:customStyle="1" w:styleId="22">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1AC91-5A83-4E53-9A73-95A696FC8DB1}">
  <ds:schemaRefs/>
</ds:datastoreItem>
</file>

<file path=docProps/app.xml><?xml version="1.0" encoding="utf-8"?>
<Properties xmlns="http://schemas.openxmlformats.org/officeDocument/2006/extended-properties" xmlns:vt="http://schemas.openxmlformats.org/officeDocument/2006/docPropsVTypes">
  <Template>Normal</Template>
  <Pages>26</Pages>
  <Words>1973</Words>
  <Characters>11252</Characters>
  <Lines>93</Lines>
  <Paragraphs>26</Paragraphs>
  <TotalTime>1385</TotalTime>
  <ScaleCrop>false</ScaleCrop>
  <LinksUpToDate>false</LinksUpToDate>
  <CharactersWithSpaces>13199</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2019-06-21T08:35:00Z</dcterms:created>
  <dc:creator>Windows 用户</dc:creator>
  <cp:lastModifiedBy>szairport</cp:lastModifiedBy>
  <cp:lastPrinted>2020-07-07T07:53:00Z</cp:lastPrinted>
  <dcterms:modified xsi:type="dcterms:W3CDTF">2020-08-28T04:21:42Z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